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E2B7F" w14:textId="77777777" w:rsidR="005667B8" w:rsidRPr="00E87D8A" w:rsidRDefault="005667B8" w:rsidP="00F617BF">
      <w:pPr>
        <w:tabs>
          <w:tab w:val="left" w:pos="2977"/>
        </w:tabs>
        <w:suppressAutoHyphens/>
        <w:jc w:val="center"/>
        <w:rPr>
          <w:rFonts w:cs="Arial"/>
          <w:b/>
          <w:bCs/>
          <w:color w:val="002776"/>
          <w:kern w:val="32"/>
          <w:sz w:val="28"/>
          <w:szCs w:val="28"/>
        </w:rPr>
      </w:pPr>
      <w:bookmarkStart w:id="0" w:name="_GoBack"/>
      <w:bookmarkEnd w:id="0"/>
      <w:r w:rsidRPr="00E87D8A">
        <w:rPr>
          <w:rFonts w:cs="Arial"/>
          <w:b/>
          <w:bCs/>
          <w:color w:val="002776"/>
          <w:kern w:val="32"/>
          <w:sz w:val="28"/>
          <w:szCs w:val="28"/>
        </w:rPr>
        <w:t xml:space="preserve">100 </w:t>
      </w:r>
      <w:r w:rsidR="00851491" w:rsidRPr="00E87D8A">
        <w:rPr>
          <w:rFonts w:cs="Arial"/>
          <w:b/>
          <w:bCs/>
          <w:color w:val="002776"/>
          <w:kern w:val="32"/>
          <w:sz w:val="28"/>
          <w:szCs w:val="28"/>
        </w:rPr>
        <w:t>–</w:t>
      </w:r>
      <w:r w:rsidRPr="00E87D8A">
        <w:rPr>
          <w:rFonts w:cs="Arial"/>
          <w:b/>
          <w:bCs/>
          <w:color w:val="002776"/>
          <w:kern w:val="32"/>
          <w:sz w:val="28"/>
          <w:szCs w:val="28"/>
        </w:rPr>
        <w:t xml:space="preserve"> </w:t>
      </w:r>
      <w:r w:rsidR="00851491" w:rsidRPr="00E87D8A">
        <w:rPr>
          <w:rFonts w:cs="Arial"/>
          <w:b/>
          <w:bCs/>
          <w:color w:val="002776"/>
          <w:kern w:val="32"/>
          <w:sz w:val="28"/>
          <w:szCs w:val="28"/>
        </w:rPr>
        <w:t>PROGRAM POSTUPŮ VYHODNOCENÍ RIZIK</w:t>
      </w:r>
    </w:p>
    <w:p w14:paraId="49777297" w14:textId="77777777" w:rsidR="005A0653" w:rsidRPr="00F617BF" w:rsidRDefault="005A0653">
      <w:pPr>
        <w:tabs>
          <w:tab w:val="left" w:pos="2977"/>
          <w:tab w:val="left" w:pos="4738"/>
        </w:tabs>
        <w:suppressAutoHyphens/>
        <w:rPr>
          <w:rFonts w:cs="Arial"/>
        </w:rPr>
      </w:pPr>
    </w:p>
    <w:p w14:paraId="0673E154" w14:textId="7EC9DF11" w:rsidR="005667B8" w:rsidRPr="00F617BF" w:rsidRDefault="005A0653" w:rsidP="005A0653">
      <w:pPr>
        <w:tabs>
          <w:tab w:val="left" w:pos="2977"/>
          <w:tab w:val="left" w:pos="4738"/>
        </w:tabs>
        <w:suppressAutoHyphens/>
        <w:jc w:val="both"/>
        <w:rPr>
          <w:rFonts w:cs="Arial"/>
        </w:rPr>
      </w:pPr>
      <w:r w:rsidRPr="009403D3">
        <w:rPr>
          <w:rFonts w:cs="Arial"/>
        </w:rPr>
        <w:t xml:space="preserve">V tomto </w:t>
      </w:r>
      <w:r w:rsidR="00305EC1" w:rsidRPr="009403D3">
        <w:rPr>
          <w:rFonts w:cs="Arial"/>
        </w:rPr>
        <w:t>program</w:t>
      </w:r>
      <w:r w:rsidRPr="009403D3">
        <w:rPr>
          <w:rFonts w:cs="Arial"/>
        </w:rPr>
        <w:t xml:space="preserve">u </w:t>
      </w:r>
      <w:r w:rsidR="005667B8" w:rsidRPr="009403D3">
        <w:rPr>
          <w:rFonts w:cs="Arial"/>
        </w:rPr>
        <w:t xml:space="preserve">jsou popsány auditorské postupy vztahující se k úvodním činnostem </w:t>
      </w:r>
      <w:r w:rsidR="00B10130" w:rsidRPr="009403D3">
        <w:rPr>
          <w:rFonts w:cs="Arial"/>
        </w:rPr>
        <w:t>souvisejícím se</w:t>
      </w:r>
      <w:r w:rsidR="005667B8" w:rsidRPr="009403D3">
        <w:rPr>
          <w:rFonts w:cs="Arial"/>
        </w:rPr>
        <w:t xml:space="preserve"> zahájením auditu a </w:t>
      </w:r>
      <w:r w:rsidR="007A6657" w:rsidRPr="009403D3">
        <w:rPr>
          <w:rFonts w:cs="Arial"/>
        </w:rPr>
        <w:t>fází vyhodnocení rizik</w:t>
      </w:r>
      <w:r w:rsidR="005667B8" w:rsidRPr="009403D3">
        <w:rPr>
          <w:rFonts w:cs="Arial"/>
        </w:rPr>
        <w:t>.</w:t>
      </w:r>
      <w:r w:rsidR="009403D3">
        <w:rPr>
          <w:rFonts w:cs="Arial"/>
        </w:rPr>
        <w:t xml:space="preserve"> Fakticky tento dokument může sloužit jako kontrolní dotazník pro ujištění, že auditor provedl veškeré postupy vyžadované ve fázi plánování.</w:t>
      </w:r>
      <w:r w:rsidR="005667B8" w:rsidRPr="009403D3">
        <w:rPr>
          <w:rFonts w:cs="Arial"/>
        </w:rPr>
        <w:t xml:space="preserve"> </w:t>
      </w:r>
      <w:r w:rsidR="007A6657" w:rsidRPr="009403D3">
        <w:rPr>
          <w:rFonts w:cs="Arial"/>
        </w:rPr>
        <w:t xml:space="preserve">Bližší podrobnosti jednotlivých kroků </w:t>
      </w:r>
      <w:r w:rsidR="009403D3">
        <w:rPr>
          <w:rFonts w:cs="Arial"/>
        </w:rPr>
        <w:t>jsou</w:t>
      </w:r>
      <w:r w:rsidR="00E113D4">
        <w:rPr>
          <w:rFonts w:cs="Arial"/>
        </w:rPr>
        <w:t xml:space="preserve"> dokumentovány</w:t>
      </w:r>
      <w:r w:rsidR="007A6657" w:rsidRPr="009403D3">
        <w:rPr>
          <w:rFonts w:cs="Arial"/>
        </w:rPr>
        <w:t xml:space="preserve"> pomocí dalších formulářů </w:t>
      </w:r>
      <w:r w:rsidR="005667B8" w:rsidRPr="009403D3">
        <w:rPr>
          <w:rFonts w:cs="Arial"/>
        </w:rPr>
        <w:t>řady 100</w:t>
      </w:r>
      <w:r w:rsidR="00E113D4">
        <w:rPr>
          <w:rFonts w:cs="Arial"/>
        </w:rPr>
        <w:t xml:space="preserve"> a části formulářů řady 200</w:t>
      </w:r>
      <w:r w:rsidR="005667B8" w:rsidRPr="009403D3">
        <w:rPr>
          <w:rFonts w:cs="Arial"/>
        </w:rPr>
        <w:t xml:space="preserve">. </w:t>
      </w:r>
    </w:p>
    <w:p w14:paraId="2697F828" w14:textId="77777777" w:rsidR="005667B8" w:rsidRPr="00F617BF" w:rsidRDefault="005667B8">
      <w:pPr>
        <w:tabs>
          <w:tab w:val="left" w:pos="346"/>
          <w:tab w:val="left" w:pos="696"/>
          <w:tab w:val="left" w:pos="2977"/>
          <w:tab w:val="left" w:pos="5098"/>
        </w:tabs>
        <w:suppressAutoHyphens/>
        <w:rPr>
          <w:rFonts w:cs="Arial"/>
        </w:rPr>
      </w:pPr>
    </w:p>
    <w:tbl>
      <w:tblPr>
        <w:tblW w:w="907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2A1478" w:rsidRPr="00F617BF" w14:paraId="7AEFC669" w14:textId="77777777" w:rsidTr="00345CCA">
        <w:trPr>
          <w:cantSplit/>
        </w:trPr>
        <w:tc>
          <w:tcPr>
            <w:tcW w:w="7088" w:type="dxa"/>
          </w:tcPr>
          <w:p w14:paraId="2F17E98E" w14:textId="77777777" w:rsidR="002A1478" w:rsidRPr="00F617BF" w:rsidRDefault="002A1478" w:rsidP="00F617BF">
            <w:pPr>
              <w:tabs>
                <w:tab w:val="left" w:pos="2977"/>
                <w:tab w:val="center" w:pos="3984"/>
              </w:tabs>
              <w:suppressAutoHyphens/>
              <w:spacing w:beforeLines="20" w:before="48" w:afterLines="20" w:after="48"/>
              <w:rPr>
                <w:rFonts w:cs="Arial"/>
                <w:b/>
              </w:rPr>
            </w:pPr>
            <w:r w:rsidRPr="00F617BF">
              <w:rPr>
                <w:rFonts w:cs="Arial"/>
                <w:b/>
              </w:rPr>
              <w:tab/>
              <w:t xml:space="preserve"> POSTUP</w:t>
            </w:r>
          </w:p>
        </w:tc>
        <w:tc>
          <w:tcPr>
            <w:tcW w:w="1984" w:type="dxa"/>
          </w:tcPr>
          <w:p w14:paraId="4367A9F4" w14:textId="77777777" w:rsidR="002A1478" w:rsidRPr="00F617BF" w:rsidRDefault="004D3A58">
            <w:pPr>
              <w:tabs>
                <w:tab w:val="center" w:pos="423"/>
                <w:tab w:val="left" w:pos="2977"/>
              </w:tabs>
              <w:suppressAutoHyphens/>
              <w:spacing w:before="90" w:after="5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Komentář / Odkaz</w:t>
            </w:r>
          </w:p>
        </w:tc>
      </w:tr>
      <w:tr w:rsidR="002A1478" w:rsidRPr="00F617BF" w14:paraId="2F266E73" w14:textId="77777777" w:rsidTr="00345CCA">
        <w:trPr>
          <w:cantSplit/>
        </w:trPr>
        <w:tc>
          <w:tcPr>
            <w:tcW w:w="7088" w:type="dxa"/>
          </w:tcPr>
          <w:p w14:paraId="5B9BA301" w14:textId="77777777" w:rsidR="002A1478" w:rsidRPr="00F617BF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  <w:b/>
              </w:rPr>
            </w:pPr>
            <w:r w:rsidRPr="00F617BF">
              <w:rPr>
                <w:rFonts w:cs="Arial"/>
                <w:b/>
              </w:rPr>
              <w:t>ROZHODNUTÍ O PŘIJETÍ ZAKÁZKY</w:t>
            </w:r>
          </w:p>
          <w:p w14:paraId="554E0E66" w14:textId="16B026E4" w:rsidR="002A1478" w:rsidRPr="00F617BF" w:rsidRDefault="002A1478" w:rsidP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  <w:b/>
              </w:rPr>
            </w:pPr>
            <w:r w:rsidRPr="00F617BF">
              <w:rPr>
                <w:rFonts w:cs="Arial"/>
              </w:rPr>
              <w:t xml:space="preserve">Posoudit, zda je auditorská společnost schopna zakázku provést a jaká rizika budou se zakázkou spojena. </w:t>
            </w:r>
            <w:r>
              <w:rPr>
                <w:rFonts w:cs="Arial"/>
              </w:rPr>
              <w:t xml:space="preserve">Zvážit charakter požadovaných prací, rámec účetního výkaznictví, </w:t>
            </w:r>
            <w:r w:rsidRPr="00F617BF">
              <w:rPr>
                <w:rFonts w:cs="Arial"/>
              </w:rPr>
              <w:t>odbornou způsobilost, zdroje a časov</w:t>
            </w:r>
            <w:r>
              <w:rPr>
                <w:rFonts w:cs="Arial"/>
              </w:rPr>
              <w:t xml:space="preserve">é možnosti na realizaci zakázky, požadavky nezávislosti, důvěryhodnost </w:t>
            </w:r>
            <w:r w:rsidR="00F8399E">
              <w:rPr>
                <w:rFonts w:cs="Arial"/>
              </w:rPr>
              <w:t>účetní jednotky</w:t>
            </w:r>
            <w:r>
              <w:rPr>
                <w:rFonts w:cs="Arial"/>
              </w:rPr>
              <w:t xml:space="preserve"> apod.</w:t>
            </w:r>
            <w:r w:rsidRPr="00F617BF">
              <w:rPr>
                <w:rFonts w:cs="Arial"/>
              </w:rPr>
              <w:t xml:space="preserve"> </w:t>
            </w:r>
          </w:p>
        </w:tc>
        <w:tc>
          <w:tcPr>
            <w:tcW w:w="1984" w:type="dxa"/>
          </w:tcPr>
          <w:p w14:paraId="0D4C942A" w14:textId="77777777" w:rsidR="00CB5EDA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</w:p>
          <w:p w14:paraId="4E890852" w14:textId="47B1DBDD" w:rsidR="002A1478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Formulář 110</w:t>
            </w:r>
          </w:p>
          <w:p w14:paraId="2E8B4017" w14:textId="2654BB7D" w:rsidR="00CB5EDA" w:rsidRPr="00F617BF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Příp. 111A či 111B</w:t>
            </w:r>
          </w:p>
        </w:tc>
      </w:tr>
      <w:tr w:rsidR="002A1478" w:rsidRPr="00F617BF" w14:paraId="0866B571" w14:textId="77777777" w:rsidTr="00345CCA">
        <w:trPr>
          <w:cantSplit/>
        </w:trPr>
        <w:tc>
          <w:tcPr>
            <w:tcW w:w="7088" w:type="dxa"/>
          </w:tcPr>
          <w:p w14:paraId="7067FF2D" w14:textId="77777777" w:rsidR="002A1478" w:rsidRPr="00F617BF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 w:hanging="346"/>
              <w:jc w:val="both"/>
              <w:rPr>
                <w:rFonts w:cs="Arial"/>
                <w:b/>
              </w:rPr>
            </w:pPr>
            <w:r w:rsidRPr="00F617BF">
              <w:rPr>
                <w:rFonts w:cs="Arial"/>
                <w:b/>
              </w:rPr>
              <w:t>PODMÍNKY ZAKÁZKY</w:t>
            </w:r>
          </w:p>
          <w:p w14:paraId="60B55389" w14:textId="77777777" w:rsidR="002A1478" w:rsidRPr="00F617BF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</w:rPr>
            </w:pPr>
            <w:r w:rsidRPr="00F617BF">
              <w:rPr>
                <w:rFonts w:cs="Arial"/>
              </w:rPr>
              <w:t>Zajistit náležité zdokumentování podmínek zakázky. Pro správné chápání podmínek zakázky na obou stranách sjedná auditor s příslušným zástupcem</w:t>
            </w:r>
            <w:r>
              <w:rPr>
                <w:rFonts w:cs="Arial"/>
              </w:rPr>
              <w:t xml:space="preserve"> </w:t>
            </w:r>
            <w:r w:rsidR="00F8399E">
              <w:rPr>
                <w:rFonts w:cs="Arial"/>
              </w:rPr>
              <w:t>účetní jednotky</w:t>
            </w:r>
            <w:r>
              <w:rPr>
                <w:rFonts w:cs="Arial"/>
              </w:rPr>
              <w:t xml:space="preserve"> smlouvu o provedení auditu</w:t>
            </w:r>
            <w:r w:rsidRPr="00F617BF">
              <w:rPr>
                <w:rFonts w:cs="Arial"/>
              </w:rPr>
              <w:t xml:space="preserve">. </w:t>
            </w:r>
          </w:p>
          <w:p w14:paraId="2752A815" w14:textId="7ED0BB96" w:rsidR="002A1478" w:rsidRPr="008017E3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14:paraId="2906E407" w14:textId="42DC59E9" w:rsidR="002A1478" w:rsidRPr="00F617BF" w:rsidRDefault="00CB5EDA" w:rsidP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Dokument 120 – Smlouva o provedení auditu</w:t>
            </w:r>
          </w:p>
        </w:tc>
      </w:tr>
      <w:tr w:rsidR="002A1478" w:rsidRPr="00F617BF" w14:paraId="26DB51A0" w14:textId="77777777" w:rsidTr="00345CCA">
        <w:trPr>
          <w:cantSplit/>
        </w:trPr>
        <w:tc>
          <w:tcPr>
            <w:tcW w:w="7088" w:type="dxa"/>
          </w:tcPr>
          <w:p w14:paraId="674B5BCF" w14:textId="77777777" w:rsidR="002A1478" w:rsidRPr="00345CCA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  <w:b/>
              </w:rPr>
            </w:pPr>
            <w:r w:rsidRPr="00345CCA">
              <w:rPr>
                <w:rFonts w:cs="Arial"/>
                <w:b/>
              </w:rPr>
              <w:t>STRATEGIE AUDITU</w:t>
            </w:r>
          </w:p>
          <w:p w14:paraId="48F8605A" w14:textId="67E639FC" w:rsidR="002A1478" w:rsidRPr="00345CCA" w:rsidRDefault="002A1478" w:rsidP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  <w:b/>
              </w:rPr>
            </w:pPr>
            <w:r w:rsidRPr="00345CCA">
              <w:rPr>
                <w:rFonts w:cs="Arial"/>
              </w:rPr>
              <w:t xml:space="preserve">Připravit soupis klíčových rozhodnutí nezbytných pro správné naplánování auditu. Strategie auditu by měla zahrnovat například rámec účetního výkaznictví, druh zakázky a její výstupy, spoléhání na jiné osoby (jiní auditoři, servisní organizace, interní auditoři), termíny provádění auditu a požadovaných zpráv, významné či nové interní či externí faktory, základnu pro stanovení </w:t>
            </w:r>
            <w:r w:rsidR="00755799">
              <w:rPr>
                <w:rFonts w:cs="Arial"/>
              </w:rPr>
              <w:t>materiality</w:t>
            </w:r>
            <w:r w:rsidRPr="00345CCA">
              <w:rPr>
                <w:rFonts w:cs="Arial"/>
              </w:rPr>
              <w:t xml:space="preserve">, předběžné stanovení oblastí, v nichž existuje zvýšené riziko výskytu </w:t>
            </w:r>
            <w:r w:rsidR="00975618">
              <w:rPr>
                <w:rFonts w:cs="Arial"/>
              </w:rPr>
              <w:t xml:space="preserve">materiální </w:t>
            </w:r>
            <w:r w:rsidRPr="00345CCA">
              <w:rPr>
                <w:rFonts w:cs="Arial"/>
              </w:rPr>
              <w:t>nesprávnosti, včetně rizika podvodu, plán testů spolehlivosti vnitřních kontrol, složení auditorského týmu a zapojení specialistů, apod.</w:t>
            </w:r>
          </w:p>
        </w:tc>
        <w:tc>
          <w:tcPr>
            <w:tcW w:w="1984" w:type="dxa"/>
          </w:tcPr>
          <w:p w14:paraId="4EEE2077" w14:textId="77777777" w:rsidR="00CB5EDA" w:rsidRDefault="00CB5EDA" w:rsidP="00E91614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</w:p>
          <w:p w14:paraId="7B9539E7" w14:textId="4E07F14E" w:rsidR="002A1478" w:rsidRPr="00F617BF" w:rsidRDefault="00CB5EDA" w:rsidP="00E91614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Formulář 130</w:t>
            </w:r>
          </w:p>
        </w:tc>
      </w:tr>
      <w:tr w:rsidR="002A1478" w:rsidRPr="00F617BF" w14:paraId="7FA28F4D" w14:textId="77777777" w:rsidTr="00345CCA">
        <w:trPr>
          <w:cantSplit/>
        </w:trPr>
        <w:tc>
          <w:tcPr>
            <w:tcW w:w="7088" w:type="dxa"/>
          </w:tcPr>
          <w:p w14:paraId="46D72098" w14:textId="77777777" w:rsidR="002A1478" w:rsidRPr="00345CCA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</w:rPr>
            </w:pPr>
            <w:r w:rsidRPr="00345CCA">
              <w:rPr>
                <w:rFonts w:cs="Arial"/>
                <w:b/>
              </w:rPr>
              <w:t xml:space="preserve">ČINNOST </w:t>
            </w:r>
            <w:r w:rsidR="00F8399E">
              <w:rPr>
                <w:rFonts w:cs="Arial"/>
                <w:b/>
              </w:rPr>
              <w:t>ÚČETNÍ JEDNOTKY</w:t>
            </w:r>
          </w:p>
          <w:p w14:paraId="5CF2AD83" w14:textId="57CA2937" w:rsidR="00F0156A" w:rsidRPr="00345CCA" w:rsidRDefault="002A1478" w:rsidP="00E91614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  <w:b/>
                <w:i/>
              </w:rPr>
            </w:pPr>
            <w:r w:rsidRPr="00345CCA">
              <w:rPr>
                <w:rFonts w:cs="Arial"/>
              </w:rPr>
              <w:t>Obdržet a zdokumentovat (nebo zaktualizovat) klíčové informace relevantní k</w:t>
            </w:r>
            <w:r w:rsidR="00F8399E">
              <w:rPr>
                <w:rFonts w:cs="Arial"/>
              </w:rPr>
              <w:t> </w:t>
            </w:r>
            <w:r w:rsidRPr="00345CCA">
              <w:rPr>
                <w:rFonts w:cs="Arial"/>
              </w:rPr>
              <w:t>činnosti</w:t>
            </w:r>
            <w:r w:rsidR="00F8399E">
              <w:rPr>
                <w:rFonts w:cs="Arial"/>
              </w:rPr>
              <w:t xml:space="preserve"> účetní jednotky.</w:t>
            </w:r>
            <w:r w:rsidRPr="00345CCA">
              <w:rPr>
                <w:rFonts w:cs="Arial"/>
              </w:rPr>
              <w:t xml:space="preserve"> Dokumentace by měla být stručná a měla by obsahovat informace o následujících oblastech: odvětví, regulace a další externí faktory, mimo jiné používané zásady </w:t>
            </w:r>
            <w:r w:rsidR="00BC0A4F">
              <w:rPr>
                <w:rFonts w:cs="Arial"/>
              </w:rPr>
              <w:t>účet</w:t>
            </w:r>
            <w:r w:rsidRPr="00345CCA">
              <w:rPr>
                <w:rFonts w:cs="Arial"/>
              </w:rPr>
              <w:t>ního výkaznictví; povaha účetní jednotky; včetně výběru a použití účetních zásad; cíle a strategie a odpovídající podnikatelská rizika, která m</w:t>
            </w:r>
            <w:r w:rsidR="00755799">
              <w:rPr>
                <w:rFonts w:cs="Arial"/>
              </w:rPr>
              <w:t>ohou vést k </w:t>
            </w:r>
            <w:r w:rsidR="00975618">
              <w:rPr>
                <w:rFonts w:cs="Arial"/>
              </w:rPr>
              <w:t xml:space="preserve">materiální </w:t>
            </w:r>
            <w:r w:rsidR="00755799">
              <w:rPr>
                <w:rFonts w:cs="Arial"/>
              </w:rPr>
              <w:t>nesprávnosti</w:t>
            </w:r>
            <w:r w:rsidRPr="00345CCA">
              <w:rPr>
                <w:rFonts w:cs="Arial"/>
              </w:rPr>
              <w:t xml:space="preserve"> účetní závěrky; hodnocení a ověření výsledků účetní jednotky; účetní a informační systém, vnitřní kontrola apod.</w:t>
            </w:r>
          </w:p>
        </w:tc>
        <w:tc>
          <w:tcPr>
            <w:tcW w:w="1984" w:type="dxa"/>
          </w:tcPr>
          <w:p w14:paraId="49BC9EE4" w14:textId="77777777" w:rsidR="00CB5EDA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</w:p>
          <w:p w14:paraId="64F755C7" w14:textId="582CCCE0" w:rsidR="002A1478" w:rsidRPr="00F617BF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Formulář 140</w:t>
            </w:r>
          </w:p>
        </w:tc>
      </w:tr>
      <w:tr w:rsidR="002A1478" w:rsidRPr="00F617BF" w14:paraId="3B4B2D59" w14:textId="77777777" w:rsidTr="00345CCA">
        <w:trPr>
          <w:cantSplit/>
        </w:trPr>
        <w:tc>
          <w:tcPr>
            <w:tcW w:w="7088" w:type="dxa"/>
          </w:tcPr>
          <w:p w14:paraId="1A607F47" w14:textId="019BF81A" w:rsidR="002A1478" w:rsidRPr="00F617BF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</w:rPr>
            </w:pPr>
            <w:r w:rsidRPr="00F617BF">
              <w:rPr>
                <w:rFonts w:cs="Arial"/>
                <w:b/>
              </w:rPr>
              <w:t>VNITŘNÍ KONTROL</w:t>
            </w:r>
            <w:r w:rsidR="00E113D4">
              <w:rPr>
                <w:rFonts w:cs="Arial"/>
                <w:b/>
              </w:rPr>
              <w:t xml:space="preserve">NÍ SYSTÉM </w:t>
            </w:r>
          </w:p>
          <w:p w14:paraId="02FF757A" w14:textId="5789BE1B" w:rsidR="002A1478" w:rsidRPr="00F617BF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</w:rPr>
            </w:pPr>
            <w:r>
              <w:rPr>
                <w:rFonts w:cs="Arial"/>
              </w:rPr>
              <w:t>Provést postupy porozumění vnitřní</w:t>
            </w:r>
            <w:r w:rsidR="00E113D4">
              <w:rPr>
                <w:rFonts w:cs="Arial"/>
              </w:rPr>
              <w:t>mu kontrolnímu systému</w:t>
            </w:r>
            <w:r>
              <w:rPr>
                <w:rFonts w:cs="Arial"/>
              </w:rPr>
              <w:t xml:space="preserve"> (kontrolní prostředí, vyhodnocování rizik, informační systém</w:t>
            </w:r>
            <w:r w:rsidR="00E113D4">
              <w:rPr>
                <w:rFonts w:cs="Arial"/>
              </w:rPr>
              <w:t xml:space="preserve"> a komunikace</w:t>
            </w:r>
            <w:r>
              <w:rPr>
                <w:rFonts w:cs="Arial"/>
              </w:rPr>
              <w:t>, kontrolní činnosti a monitorování kontrol). U všech relevantních kontrol provést vyhodnocení jejich návrhu a implementace.</w:t>
            </w:r>
          </w:p>
          <w:p w14:paraId="1B7584B7" w14:textId="67A10AB7" w:rsidR="006E579D" w:rsidRPr="0069145B" w:rsidRDefault="00470805" w:rsidP="00470805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  <w:b/>
                <w:i/>
              </w:rPr>
            </w:pPr>
            <w:r w:rsidRPr="00F617BF">
              <w:rPr>
                <w:rFonts w:cs="Arial"/>
                <w:b/>
                <w:i/>
              </w:rPr>
              <w:t xml:space="preserve"> </w:t>
            </w:r>
          </w:p>
        </w:tc>
        <w:tc>
          <w:tcPr>
            <w:tcW w:w="1984" w:type="dxa"/>
          </w:tcPr>
          <w:p w14:paraId="2E89DA2B" w14:textId="77777777" w:rsidR="00CB5EDA" w:rsidRDefault="00CB5EDA" w:rsidP="00E91614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</w:p>
          <w:p w14:paraId="11CAEF66" w14:textId="56A5B7D2" w:rsidR="002A1478" w:rsidRDefault="00CB5EDA" w:rsidP="00E91614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Formuláře 150,</w:t>
            </w:r>
          </w:p>
          <w:p w14:paraId="0671154F" w14:textId="21BFE50A" w:rsidR="00CB5EDA" w:rsidRPr="00F617BF" w:rsidRDefault="00CB5EDA" w:rsidP="00E91614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151 a 152</w:t>
            </w:r>
          </w:p>
        </w:tc>
      </w:tr>
      <w:tr w:rsidR="002A1478" w:rsidRPr="00F617BF" w14:paraId="4BB6F83B" w14:textId="77777777" w:rsidTr="00345CCA">
        <w:trPr>
          <w:cantSplit/>
          <w:trHeight w:val="1644"/>
        </w:trPr>
        <w:tc>
          <w:tcPr>
            <w:tcW w:w="7088" w:type="dxa"/>
          </w:tcPr>
          <w:p w14:paraId="4E178B45" w14:textId="77777777" w:rsidR="002A1478" w:rsidRPr="00F617BF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</w:rPr>
            </w:pPr>
            <w:r w:rsidRPr="00F617BF">
              <w:rPr>
                <w:rFonts w:cs="Arial"/>
                <w:b/>
              </w:rPr>
              <w:lastRenderedPageBreak/>
              <w:t>PŘEDBĚŽNÉ ANALYTICKÉ POSTUPY</w:t>
            </w:r>
          </w:p>
          <w:p w14:paraId="7846AB08" w14:textId="3FE64E21" w:rsidR="001310C8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</w:rPr>
            </w:pPr>
            <w:r w:rsidRPr="00F617BF">
              <w:rPr>
                <w:rFonts w:cs="Arial"/>
              </w:rPr>
              <w:t xml:space="preserve">Obdržet od </w:t>
            </w:r>
            <w:r w:rsidR="00F8399E">
              <w:rPr>
                <w:rFonts w:cs="Arial"/>
              </w:rPr>
              <w:t>účetní jednotky</w:t>
            </w:r>
            <w:r w:rsidRPr="00F617BF">
              <w:rPr>
                <w:rFonts w:cs="Arial"/>
              </w:rPr>
              <w:t xml:space="preserve"> nejaktuálnější finanční informace </w:t>
            </w:r>
            <w:r>
              <w:rPr>
                <w:rFonts w:cs="Arial"/>
              </w:rPr>
              <w:t>a provést analytické postupy</w:t>
            </w:r>
            <w:r w:rsidR="00017C1C">
              <w:rPr>
                <w:rFonts w:cs="Arial"/>
              </w:rPr>
              <w:t xml:space="preserve"> (minimálně</w:t>
            </w:r>
            <w:r w:rsidR="00E91614">
              <w:rPr>
                <w:rFonts w:cs="Arial"/>
              </w:rPr>
              <w:t xml:space="preserve"> na</w:t>
            </w:r>
            <w:r w:rsidR="00017C1C">
              <w:rPr>
                <w:rFonts w:cs="Arial"/>
              </w:rPr>
              <w:t xml:space="preserve"> úrovni finančních výkazů, či ještě lépe na úrovni předvahy či v jiném vhodném detailu)</w:t>
            </w:r>
            <w:r>
              <w:rPr>
                <w:rFonts w:cs="Arial"/>
              </w:rPr>
              <w:t xml:space="preserve">, např. </w:t>
            </w:r>
          </w:p>
          <w:p w14:paraId="4A1C515C" w14:textId="5D41F491" w:rsidR="001310C8" w:rsidRDefault="002A1478" w:rsidP="001310C8">
            <w:pPr>
              <w:numPr>
                <w:ilvl w:val="0"/>
                <w:numId w:val="13"/>
              </w:num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617BF">
              <w:rPr>
                <w:rFonts w:cs="Arial"/>
              </w:rPr>
              <w:t xml:space="preserve">orovnat </w:t>
            </w:r>
            <w:r w:rsidR="00017C1C">
              <w:rPr>
                <w:rFonts w:cs="Arial"/>
              </w:rPr>
              <w:t>položky</w:t>
            </w:r>
            <w:r w:rsidRPr="00F617BF">
              <w:rPr>
                <w:rFonts w:cs="Arial"/>
              </w:rPr>
              <w:t xml:space="preserve"> roku běžného a roku předchozího</w:t>
            </w:r>
            <w:r w:rsidR="00017C1C">
              <w:rPr>
                <w:rFonts w:cs="Arial"/>
              </w:rPr>
              <w:t xml:space="preserve"> (v absolutní částce i procentuálně)</w:t>
            </w:r>
            <w:r w:rsidRPr="00F617BF">
              <w:rPr>
                <w:rFonts w:cs="Arial"/>
              </w:rPr>
              <w:t xml:space="preserve"> a určit významné změny nebo absenci změn tam, kde byly očekávány, </w:t>
            </w:r>
          </w:p>
          <w:p w14:paraId="3B6A0F36" w14:textId="07D69EE9" w:rsidR="00017C1C" w:rsidRDefault="002A1478" w:rsidP="001310C8">
            <w:pPr>
              <w:numPr>
                <w:ilvl w:val="0"/>
                <w:numId w:val="13"/>
              </w:num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</w:rPr>
            </w:pPr>
            <w:r w:rsidRPr="00F617BF">
              <w:rPr>
                <w:rFonts w:cs="Arial"/>
              </w:rPr>
              <w:t>posoudit hlavní finanční poměrové ukazatele</w:t>
            </w:r>
            <w:r w:rsidR="00017C1C">
              <w:rPr>
                <w:rFonts w:cs="Arial"/>
              </w:rPr>
              <w:t xml:space="preserve"> (např. ziskovost, marže, likvidita, zadlužení, obrátkovost zásob</w:t>
            </w:r>
            <w:r w:rsidR="00E91614">
              <w:rPr>
                <w:rFonts w:cs="Arial"/>
              </w:rPr>
              <w:t>),</w:t>
            </w:r>
          </w:p>
          <w:p w14:paraId="6ED66DD2" w14:textId="0CD5F9A3" w:rsidR="002A1478" w:rsidRDefault="00017C1C" w:rsidP="001310C8">
            <w:pPr>
              <w:numPr>
                <w:ilvl w:val="0"/>
                <w:numId w:val="13"/>
              </w:num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</w:rPr>
            </w:pPr>
            <w:r>
              <w:rPr>
                <w:rFonts w:cs="Arial"/>
              </w:rPr>
              <w:t>tam, kde je vhodné, posoudit vývoj</w:t>
            </w:r>
            <w:r w:rsidR="002A1478" w:rsidRPr="00F617BF">
              <w:rPr>
                <w:rFonts w:cs="Arial"/>
              </w:rPr>
              <w:t xml:space="preserve"> </w:t>
            </w:r>
            <w:r w:rsidR="00166F9C">
              <w:rPr>
                <w:rFonts w:cs="Arial"/>
              </w:rPr>
              <w:t>hlavních položek či ukazatelů v průběhu roku (například po měsících)</w:t>
            </w:r>
            <w:r w:rsidR="002A1478">
              <w:rPr>
                <w:rFonts w:cs="Arial"/>
              </w:rPr>
              <w:t>.</w:t>
            </w:r>
          </w:p>
          <w:p w14:paraId="39008225" w14:textId="1877A9E0" w:rsidR="002A1478" w:rsidRPr="00F617BF" w:rsidRDefault="00166F9C" w:rsidP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Získat </w:t>
            </w:r>
            <w:r w:rsidR="00E91614">
              <w:rPr>
                <w:rFonts w:cs="Arial"/>
              </w:rPr>
              <w:t>k</w:t>
            </w:r>
            <w:r>
              <w:rPr>
                <w:rFonts w:cs="Arial"/>
              </w:rPr>
              <w:t>e všem neobvyklým záležitostem vysvětlení, včetně dalších vhodných důkazních informací dokládající</w:t>
            </w:r>
            <w:r w:rsidR="00E91614">
              <w:rPr>
                <w:rFonts w:cs="Arial"/>
              </w:rPr>
              <w:t>ch</w:t>
            </w:r>
            <w:r>
              <w:rPr>
                <w:rFonts w:cs="Arial"/>
              </w:rPr>
              <w:t xml:space="preserve"> obdržená vysvětlení, a vyhodnotit jejich dopad na rizika a plán auditu.</w:t>
            </w:r>
          </w:p>
        </w:tc>
        <w:tc>
          <w:tcPr>
            <w:tcW w:w="1984" w:type="dxa"/>
          </w:tcPr>
          <w:p w14:paraId="638DA31A" w14:textId="56DBD433" w:rsidR="002A1478" w:rsidRPr="00F617BF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Formulář 160</w:t>
            </w:r>
          </w:p>
        </w:tc>
      </w:tr>
      <w:tr w:rsidR="002A1478" w:rsidRPr="00F617BF" w14:paraId="1B9C5E28" w14:textId="77777777" w:rsidTr="00345CCA">
        <w:trPr>
          <w:cantSplit/>
        </w:trPr>
        <w:tc>
          <w:tcPr>
            <w:tcW w:w="7088" w:type="dxa"/>
          </w:tcPr>
          <w:p w14:paraId="455DDCD4" w14:textId="018736EF" w:rsidR="002A1478" w:rsidRPr="00F617BF" w:rsidRDefault="00C54F84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MATERIALITA</w:t>
            </w:r>
          </w:p>
          <w:p w14:paraId="0114384D" w14:textId="0BE461A1" w:rsidR="002A1478" w:rsidRPr="00F617BF" w:rsidRDefault="002A1478" w:rsidP="00E91614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</w:rPr>
              <w:t>Stanovit</w:t>
            </w:r>
            <w:r w:rsidRPr="00F617BF">
              <w:rPr>
                <w:rFonts w:cs="Arial"/>
              </w:rPr>
              <w:t xml:space="preserve"> a zdokumentovat </w:t>
            </w:r>
            <w:r w:rsidR="00755799">
              <w:rPr>
                <w:rFonts w:cs="Arial"/>
              </w:rPr>
              <w:t xml:space="preserve">materialitu </w:t>
            </w:r>
            <w:r>
              <w:rPr>
                <w:rFonts w:cs="Arial"/>
              </w:rPr>
              <w:t xml:space="preserve">a prováděcí </w:t>
            </w:r>
            <w:r w:rsidR="00755799">
              <w:rPr>
                <w:rFonts w:cs="Arial"/>
              </w:rPr>
              <w:t xml:space="preserve">materialitu </w:t>
            </w:r>
            <w:r>
              <w:rPr>
                <w:rFonts w:cs="Arial"/>
              </w:rPr>
              <w:t xml:space="preserve">pro účetní závěrku jako celek, případně stanovit specifické (nižší) </w:t>
            </w:r>
            <w:r w:rsidR="00755799">
              <w:rPr>
                <w:rFonts w:cs="Arial"/>
              </w:rPr>
              <w:t xml:space="preserve">materiality </w:t>
            </w:r>
            <w:r>
              <w:rPr>
                <w:rFonts w:cs="Arial"/>
              </w:rPr>
              <w:t>pro určité oblasti účetní závěrky.</w:t>
            </w:r>
          </w:p>
        </w:tc>
        <w:tc>
          <w:tcPr>
            <w:tcW w:w="1984" w:type="dxa"/>
          </w:tcPr>
          <w:p w14:paraId="7FC09EE3" w14:textId="17913443" w:rsidR="002A1478" w:rsidRPr="00F617BF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Formulář 170</w:t>
            </w:r>
          </w:p>
        </w:tc>
      </w:tr>
      <w:tr w:rsidR="002A1478" w:rsidRPr="00F617BF" w14:paraId="31C38C15" w14:textId="77777777" w:rsidTr="00345CCA">
        <w:trPr>
          <w:cantSplit/>
        </w:trPr>
        <w:tc>
          <w:tcPr>
            <w:tcW w:w="7088" w:type="dxa"/>
          </w:tcPr>
          <w:p w14:paraId="58D4F4EE" w14:textId="77777777" w:rsidR="002A1478" w:rsidRPr="00F617BF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VYHODNOCENÍ RIZIK</w:t>
            </w:r>
            <w:r w:rsidRPr="00F617BF">
              <w:rPr>
                <w:rFonts w:cs="Arial"/>
                <w:b/>
                <w:lang w:val="en-US"/>
              </w:rPr>
              <w:t>:</w:t>
            </w:r>
          </w:p>
          <w:p w14:paraId="78C912A1" w14:textId="289D01DE" w:rsidR="002A1478" w:rsidRPr="00BC3BA0" w:rsidRDefault="002A1478" w:rsidP="00E91614">
            <w:pPr>
              <w:numPr>
                <w:ilvl w:val="0"/>
                <w:numId w:val="6"/>
              </w:num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  <w:b/>
                <w:i/>
              </w:rPr>
            </w:pPr>
            <w:r w:rsidRPr="002A4155">
              <w:rPr>
                <w:rFonts w:cs="Arial"/>
              </w:rPr>
              <w:t xml:space="preserve">Shrnout a vyhodnotit rizika identifikovaná v předchozích krocích. Vyhodnotit přirozená rizika (jako kombinaci pravděpodobnosti výskytu nesprávnosti a velikosti jejího dopadu). Vyhodnotit výši kontrolního rizika (pokud jsou předpokládány testy provozní účinnosti kontrol, jinak je nutno vždy předpokládat kontrolní riziko jako vysoké). Vyhodnotit rizika </w:t>
            </w:r>
            <w:r w:rsidR="00975618">
              <w:rPr>
                <w:rFonts w:cs="Arial"/>
              </w:rPr>
              <w:t>materiální</w:t>
            </w:r>
            <w:r w:rsidR="00975618" w:rsidRPr="002A4155">
              <w:rPr>
                <w:rFonts w:cs="Arial"/>
              </w:rPr>
              <w:t xml:space="preserve"> </w:t>
            </w:r>
            <w:r w:rsidRPr="002A4155">
              <w:rPr>
                <w:rFonts w:cs="Arial"/>
              </w:rPr>
              <w:t xml:space="preserve">nesprávnosti jako kombinaci </w:t>
            </w:r>
            <w:r>
              <w:rPr>
                <w:rFonts w:cs="Arial"/>
              </w:rPr>
              <w:t>přirozených rizik a kontrolních rizik</w:t>
            </w:r>
            <w:r w:rsidRPr="002A4155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Toto vyhodnocení rizik provést</w:t>
            </w:r>
            <w:r w:rsidRPr="002A4155">
              <w:rPr>
                <w:rFonts w:cs="Arial"/>
              </w:rPr>
              <w:t xml:space="preserve"> jak na úrovni účetní závěrky jako celku, tak na úrovni jednotlivých položek (skupin transakcí, zůstatků účtů a zveřejňovaných údajů) a jednotlivých tvrzení (úplnost, existence, správnost, ocenění). Stanovit, která z identifikovaných rizik jsou významná rizika.</w:t>
            </w:r>
          </w:p>
        </w:tc>
        <w:tc>
          <w:tcPr>
            <w:tcW w:w="1984" w:type="dxa"/>
          </w:tcPr>
          <w:p w14:paraId="54DCB2C8" w14:textId="5D9EBD44" w:rsidR="002A1478" w:rsidRPr="00F617BF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Formulář 180</w:t>
            </w:r>
          </w:p>
        </w:tc>
      </w:tr>
      <w:tr w:rsidR="002A1478" w:rsidRPr="00F617BF" w14:paraId="2F2BD71F" w14:textId="77777777" w:rsidTr="00345CCA">
        <w:trPr>
          <w:cantSplit/>
        </w:trPr>
        <w:tc>
          <w:tcPr>
            <w:tcW w:w="7088" w:type="dxa"/>
          </w:tcPr>
          <w:p w14:paraId="35E1CAE9" w14:textId="77777777" w:rsidR="002A1478" w:rsidRDefault="002A1478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PŘIPRAVIT PROGRAMY AUDITU</w:t>
            </w:r>
          </w:p>
          <w:p w14:paraId="46F00C42" w14:textId="09227A73" w:rsidR="002A1478" w:rsidRPr="007A6657" w:rsidRDefault="002A1478" w:rsidP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ind w:left="346"/>
              <w:jc w:val="both"/>
              <w:rPr>
                <w:rFonts w:cs="Arial"/>
                <w:b/>
                <w:i/>
              </w:rPr>
            </w:pPr>
            <w:r w:rsidRPr="002A4155">
              <w:rPr>
                <w:rFonts w:cs="Arial"/>
              </w:rPr>
              <w:t xml:space="preserve">Připravit programy auditu pro jednotlivé </w:t>
            </w:r>
            <w:r>
              <w:rPr>
                <w:rFonts w:cs="Arial"/>
              </w:rPr>
              <w:t>oblasti</w:t>
            </w:r>
            <w:r w:rsidRPr="002A4155">
              <w:rPr>
                <w:rFonts w:cs="Arial"/>
              </w:rPr>
              <w:t xml:space="preserve"> účetní závěrky. Stanovit testy věcné správnosti (analytické testy a testy detailních údajů), případně testy kontrol, kterými bude reagováno na vyhodnocená rizika </w:t>
            </w:r>
            <w:r w:rsidR="00975618">
              <w:rPr>
                <w:rFonts w:cs="Arial"/>
              </w:rPr>
              <w:t>materiální</w:t>
            </w:r>
            <w:r w:rsidR="00975618" w:rsidRPr="002A4155">
              <w:rPr>
                <w:rFonts w:cs="Arial"/>
              </w:rPr>
              <w:t xml:space="preserve"> </w:t>
            </w:r>
            <w:r w:rsidRPr="002A4155">
              <w:rPr>
                <w:rFonts w:cs="Arial"/>
              </w:rPr>
              <w:t>nesprávnosti</w:t>
            </w:r>
            <w:r w:rsidR="00C54F84">
              <w:rPr>
                <w:rFonts w:cs="Arial"/>
              </w:rPr>
              <w:t xml:space="preserve"> v souladu </w:t>
            </w:r>
            <w:r w:rsidR="00E400FB">
              <w:rPr>
                <w:rFonts w:cs="Arial"/>
              </w:rPr>
              <w:t>s Formulářem 180 – Shrnutí a vyhodnocení rizik a plán auditu</w:t>
            </w:r>
            <w:r w:rsidRPr="002A4155">
              <w:rPr>
                <w:rFonts w:cs="Arial"/>
              </w:rPr>
              <w:t>. Při rozhodování o charakteru a rozsahu testů zohlednit výši jednotlivých rizik (dle jednotlivých tvrzení).</w:t>
            </w:r>
          </w:p>
        </w:tc>
        <w:tc>
          <w:tcPr>
            <w:tcW w:w="1984" w:type="dxa"/>
          </w:tcPr>
          <w:p w14:paraId="1BA8C262" w14:textId="77777777" w:rsidR="00CB5EDA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</w:p>
          <w:p w14:paraId="02130823" w14:textId="1263D9D7" w:rsidR="002A1478" w:rsidRPr="008F17FE" w:rsidRDefault="00CB5EDA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Formuláře X30 – Programy auditu dle jednotlivých oblastí</w:t>
            </w:r>
          </w:p>
        </w:tc>
      </w:tr>
      <w:tr w:rsidR="00E91614" w:rsidRPr="00F617BF" w14:paraId="440C9265" w14:textId="77777777" w:rsidTr="00345CCA">
        <w:trPr>
          <w:cantSplit/>
        </w:trPr>
        <w:tc>
          <w:tcPr>
            <w:tcW w:w="7088" w:type="dxa"/>
          </w:tcPr>
          <w:p w14:paraId="2FBE0277" w14:textId="25F13572" w:rsidR="00E91614" w:rsidRDefault="00E91614" w:rsidP="00AD1486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Lines="20" w:before="48" w:afterLines="20" w:after="48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PORADA AUDITORSKÉHO TÝMU</w:t>
            </w:r>
          </w:p>
        </w:tc>
        <w:tc>
          <w:tcPr>
            <w:tcW w:w="1984" w:type="dxa"/>
          </w:tcPr>
          <w:p w14:paraId="277163C0" w14:textId="3075870A" w:rsidR="00E91614" w:rsidRDefault="00E91614">
            <w:pPr>
              <w:tabs>
                <w:tab w:val="left" w:pos="346"/>
                <w:tab w:val="left" w:pos="696"/>
                <w:tab w:val="left" w:pos="2977"/>
                <w:tab w:val="left" w:pos="5098"/>
              </w:tabs>
              <w:suppressAutoHyphens/>
              <w:spacing w:before="90" w:after="54"/>
              <w:jc w:val="center"/>
              <w:rPr>
                <w:rFonts w:cs="Arial"/>
              </w:rPr>
            </w:pPr>
            <w:r>
              <w:rPr>
                <w:rFonts w:cs="Arial"/>
              </w:rPr>
              <w:t>Formulář 191</w:t>
            </w:r>
          </w:p>
        </w:tc>
      </w:tr>
    </w:tbl>
    <w:p w14:paraId="3FE880C7" w14:textId="77777777" w:rsidR="005A0653" w:rsidRPr="00F617BF" w:rsidRDefault="005A0653">
      <w:pPr>
        <w:tabs>
          <w:tab w:val="left" w:pos="346"/>
          <w:tab w:val="left" w:pos="696"/>
          <w:tab w:val="left" w:pos="2977"/>
          <w:tab w:val="left" w:pos="5098"/>
        </w:tabs>
        <w:suppressAutoHyphens/>
        <w:rPr>
          <w:rFonts w:cs="Arial"/>
        </w:rPr>
      </w:pPr>
    </w:p>
    <w:p w14:paraId="231B668B" w14:textId="77777777" w:rsidR="005667B8" w:rsidRDefault="005667B8" w:rsidP="00F617BF">
      <w:pPr>
        <w:tabs>
          <w:tab w:val="left" w:pos="2977"/>
          <w:tab w:val="left" w:pos="4738"/>
        </w:tabs>
        <w:suppressAutoHyphens/>
        <w:rPr>
          <w:rFonts w:ascii="Times New Roman" w:hAnsi="Times New Roman"/>
        </w:rPr>
      </w:pPr>
    </w:p>
    <w:sectPr w:rsidR="005667B8" w:rsidSect="00345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09" w:footer="431" w:gutter="0"/>
      <w:cols w:space="708"/>
      <w:noEndnote/>
      <w:titlePg/>
      <w:docGrid w:linePitch="21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EA0D" w16cex:dateUtc="2022-09-30T20:19:00Z"/>
  <w16cex:commentExtensible w16cex:durableId="26E1EA14" w16cex:dateUtc="2022-09-30T2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FBE6" w14:textId="77777777" w:rsidR="009E14C4" w:rsidRDefault="009E14C4">
      <w:pPr>
        <w:spacing w:line="20" w:lineRule="exact"/>
        <w:rPr>
          <w:sz w:val="24"/>
        </w:rPr>
      </w:pPr>
    </w:p>
  </w:endnote>
  <w:endnote w:type="continuationSeparator" w:id="0">
    <w:p w14:paraId="6CEDFB16" w14:textId="77777777" w:rsidR="009E14C4" w:rsidRDefault="009E14C4">
      <w:r>
        <w:rPr>
          <w:sz w:val="24"/>
        </w:rPr>
        <w:t></w:t>
      </w:r>
    </w:p>
  </w:endnote>
  <w:endnote w:type="continuationNotice" w:id="1">
    <w:p w14:paraId="56FE5B1A" w14:textId="77777777" w:rsidR="009E14C4" w:rsidRDefault="009E14C4">
      <w:r>
        <w:rPr>
          <w:sz w:val="24"/>
        </w:rPr>
        <w:t>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EES"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64A87" w14:textId="77777777" w:rsidR="00A67072" w:rsidRDefault="00A670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7671" w14:textId="77777777" w:rsidR="00BD6268" w:rsidRPr="002A6B49" w:rsidRDefault="00BD6268">
    <w:pPr>
      <w:spacing w:before="140" w:line="100" w:lineRule="exact"/>
      <w:rPr>
        <w:rFonts w:cs="Arial"/>
        <w:sz w:val="10"/>
      </w:rPr>
    </w:pPr>
  </w:p>
  <w:p w14:paraId="590887A5" w14:textId="77777777" w:rsidR="00BD6268" w:rsidRPr="005A0653" w:rsidRDefault="00BD6268">
    <w:pPr>
      <w:tabs>
        <w:tab w:val="right" w:pos="10440"/>
      </w:tabs>
      <w:suppressAutoHyphens/>
      <w:rPr>
        <w:rFonts w:ascii="Times New Roman" w:hAnsi="Times New Roman"/>
        <w:b/>
      </w:rPr>
    </w:pPr>
    <w:r w:rsidRPr="005A0653">
      <w:rPr>
        <w:rFonts w:ascii="Times New Roman" w:hAnsi="Times New Roman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58D0F" w14:textId="77777777" w:rsidR="00A67072" w:rsidRDefault="00A67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BA65A" w14:textId="77777777" w:rsidR="009E14C4" w:rsidRDefault="009E14C4">
      <w:r>
        <w:rPr>
          <w:sz w:val="24"/>
        </w:rPr>
        <w:separator/>
      </w:r>
    </w:p>
  </w:footnote>
  <w:footnote w:type="continuationSeparator" w:id="0">
    <w:p w14:paraId="3590EC68" w14:textId="77777777" w:rsidR="009E14C4" w:rsidRDefault="009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70B4B" w14:textId="77777777" w:rsidR="00A67072" w:rsidRDefault="00A670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73894" w14:textId="77777777" w:rsidR="00A67072" w:rsidRDefault="00A670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6D7B" w14:textId="77777777" w:rsidR="00302420" w:rsidRPr="00F617BF" w:rsidRDefault="00302420" w:rsidP="00302420">
    <w:pPr>
      <w:tabs>
        <w:tab w:val="left" w:pos="2977"/>
        <w:tab w:val="left" w:pos="5098"/>
        <w:tab w:val="right" w:pos="10170"/>
      </w:tabs>
      <w:suppressAutoHyphens/>
      <w:jc w:val="right"/>
      <w:rPr>
        <w:rFonts w:cs="Arial"/>
        <w:b/>
      </w:rPr>
    </w:pPr>
    <w:r>
      <w:rPr>
        <w:rFonts w:ascii="Times New Roman" w:hAnsi="Times New Roman"/>
        <w:b/>
      </w:rPr>
      <w:tab/>
    </w:r>
    <w:r w:rsidRPr="00F617BF">
      <w:rPr>
        <w:rFonts w:cs="Arial"/>
        <w:b/>
      </w:rPr>
      <w:t>Odkaz 100</w:t>
    </w:r>
  </w:p>
  <w:p w14:paraId="3457F980" w14:textId="77777777" w:rsidR="00302420" w:rsidRPr="00F617BF" w:rsidRDefault="00302420" w:rsidP="00302420">
    <w:pPr>
      <w:tabs>
        <w:tab w:val="left" w:pos="2977"/>
        <w:tab w:val="left" w:pos="5098"/>
        <w:tab w:val="right" w:pos="10170"/>
      </w:tabs>
      <w:suppressAutoHyphens/>
      <w:jc w:val="right"/>
      <w:rPr>
        <w:rFonts w:cs="Arial"/>
        <w:b/>
      </w:rPr>
    </w:pPr>
  </w:p>
  <w:tbl>
    <w:tblPr>
      <w:tblW w:w="9127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588"/>
      <w:gridCol w:w="2977"/>
      <w:gridCol w:w="1134"/>
      <w:gridCol w:w="1418"/>
      <w:gridCol w:w="992"/>
      <w:gridCol w:w="1018"/>
    </w:tblGrid>
    <w:tr w:rsidR="00302420" w:rsidRPr="00EA1567" w14:paraId="4B6AEEF2" w14:textId="77777777" w:rsidTr="00A43FCC">
      <w:tc>
        <w:tcPr>
          <w:tcW w:w="1588" w:type="dxa"/>
          <w:shd w:val="clear" w:color="auto" w:fill="auto"/>
        </w:tcPr>
        <w:p w14:paraId="2E0B7A0B" w14:textId="77777777" w:rsidR="00302420" w:rsidRPr="00EA1567" w:rsidRDefault="00F73C78" w:rsidP="003B7B14">
          <w:pPr>
            <w:tabs>
              <w:tab w:val="left" w:pos="5098"/>
            </w:tabs>
            <w:suppressAutoHyphens/>
            <w:rPr>
              <w:rFonts w:cs="Arial"/>
            </w:rPr>
          </w:pPr>
          <w:r>
            <w:rPr>
              <w:rFonts w:cs="Arial"/>
            </w:rPr>
            <w:t>Účetní jednotka</w:t>
          </w:r>
          <w:r w:rsidR="00302420" w:rsidRPr="00EA1567">
            <w:rPr>
              <w:rFonts w:cs="Arial"/>
            </w:rPr>
            <w:t>:</w:t>
          </w:r>
        </w:p>
      </w:tc>
      <w:tc>
        <w:tcPr>
          <w:tcW w:w="2977" w:type="dxa"/>
          <w:tcBorders>
            <w:bottom w:val="dotted" w:sz="4" w:space="0" w:color="auto"/>
          </w:tcBorders>
          <w:shd w:val="clear" w:color="auto" w:fill="auto"/>
        </w:tcPr>
        <w:p w14:paraId="0955C9F9" w14:textId="77777777" w:rsidR="00302420" w:rsidRPr="00EA1567" w:rsidRDefault="00302420" w:rsidP="00C46F41">
          <w:pPr>
            <w:tabs>
              <w:tab w:val="left" w:pos="5098"/>
            </w:tabs>
            <w:suppressAutoHyphens/>
            <w:rPr>
              <w:rFonts w:cs="Arial"/>
            </w:rPr>
          </w:pPr>
        </w:p>
      </w:tc>
      <w:tc>
        <w:tcPr>
          <w:tcW w:w="1134" w:type="dxa"/>
          <w:shd w:val="clear" w:color="auto" w:fill="auto"/>
        </w:tcPr>
        <w:p w14:paraId="3B31FDFE" w14:textId="77777777" w:rsidR="00302420" w:rsidRPr="00EA1567" w:rsidRDefault="00302420" w:rsidP="00C46F41">
          <w:pPr>
            <w:tabs>
              <w:tab w:val="left" w:pos="5098"/>
            </w:tabs>
            <w:suppressAutoHyphens/>
            <w:ind w:left="114"/>
            <w:jc w:val="right"/>
            <w:rPr>
              <w:rFonts w:cs="Arial"/>
            </w:rPr>
          </w:pPr>
          <w:r w:rsidRPr="00EA1567">
            <w:rPr>
              <w:rFonts w:cs="Arial"/>
            </w:rPr>
            <w:t>Připravil:</w:t>
          </w:r>
        </w:p>
      </w:tc>
      <w:tc>
        <w:tcPr>
          <w:tcW w:w="1418" w:type="dxa"/>
          <w:tcBorders>
            <w:bottom w:val="dotted" w:sz="4" w:space="0" w:color="auto"/>
          </w:tcBorders>
          <w:shd w:val="clear" w:color="auto" w:fill="auto"/>
        </w:tcPr>
        <w:p w14:paraId="07E9DD62" w14:textId="77777777" w:rsidR="00302420" w:rsidRPr="00EA1567" w:rsidRDefault="00302420" w:rsidP="00C46F41">
          <w:pPr>
            <w:tabs>
              <w:tab w:val="left" w:pos="5098"/>
            </w:tabs>
            <w:suppressAutoHyphens/>
            <w:rPr>
              <w:rFonts w:cs="Arial"/>
            </w:rPr>
          </w:pPr>
        </w:p>
      </w:tc>
      <w:tc>
        <w:tcPr>
          <w:tcW w:w="992" w:type="dxa"/>
          <w:shd w:val="clear" w:color="auto" w:fill="auto"/>
        </w:tcPr>
        <w:p w14:paraId="31DE9F7E" w14:textId="77777777" w:rsidR="00302420" w:rsidRPr="00EA1567" w:rsidRDefault="00302420" w:rsidP="00C46F41">
          <w:pPr>
            <w:tabs>
              <w:tab w:val="left" w:pos="5098"/>
            </w:tabs>
            <w:suppressAutoHyphens/>
            <w:ind w:left="114"/>
            <w:jc w:val="right"/>
            <w:rPr>
              <w:rFonts w:cs="Arial"/>
            </w:rPr>
          </w:pPr>
          <w:r w:rsidRPr="00EA1567">
            <w:rPr>
              <w:rFonts w:cs="Arial"/>
            </w:rPr>
            <w:t>Datum:</w:t>
          </w:r>
        </w:p>
      </w:tc>
      <w:tc>
        <w:tcPr>
          <w:tcW w:w="1018" w:type="dxa"/>
          <w:tcBorders>
            <w:bottom w:val="dotted" w:sz="4" w:space="0" w:color="auto"/>
          </w:tcBorders>
          <w:shd w:val="clear" w:color="auto" w:fill="auto"/>
        </w:tcPr>
        <w:p w14:paraId="449962AA" w14:textId="77777777" w:rsidR="00302420" w:rsidRPr="00EA1567" w:rsidRDefault="00302420" w:rsidP="00C46F41">
          <w:pPr>
            <w:tabs>
              <w:tab w:val="left" w:pos="5098"/>
            </w:tabs>
            <w:suppressAutoHyphens/>
            <w:rPr>
              <w:rFonts w:cs="Arial"/>
            </w:rPr>
          </w:pPr>
        </w:p>
      </w:tc>
    </w:tr>
    <w:tr w:rsidR="00302420" w:rsidRPr="00E46682" w14:paraId="3CDA88CA" w14:textId="77777777" w:rsidTr="00A43FCC">
      <w:tc>
        <w:tcPr>
          <w:tcW w:w="1588" w:type="dxa"/>
          <w:shd w:val="clear" w:color="auto" w:fill="auto"/>
        </w:tcPr>
        <w:p w14:paraId="605D95ED" w14:textId="77777777" w:rsidR="00302420" w:rsidRPr="00E46682" w:rsidRDefault="00302420" w:rsidP="003B7B14">
          <w:pPr>
            <w:tabs>
              <w:tab w:val="left" w:pos="5098"/>
            </w:tabs>
            <w:suppressAutoHyphens/>
            <w:rPr>
              <w:rFonts w:cs="Arial"/>
            </w:rPr>
          </w:pPr>
          <w:r w:rsidRPr="00E46682">
            <w:rPr>
              <w:rFonts w:cs="Arial"/>
            </w:rPr>
            <w:t>Období:</w:t>
          </w:r>
        </w:p>
      </w:tc>
      <w:tc>
        <w:tcPr>
          <w:tcW w:w="2977" w:type="dxa"/>
          <w:tcBorders>
            <w:top w:val="dotted" w:sz="4" w:space="0" w:color="auto"/>
            <w:bottom w:val="dotted" w:sz="4" w:space="0" w:color="auto"/>
          </w:tcBorders>
          <w:shd w:val="clear" w:color="auto" w:fill="auto"/>
        </w:tcPr>
        <w:p w14:paraId="014D810A" w14:textId="77777777" w:rsidR="00302420" w:rsidRPr="00E46682" w:rsidRDefault="00302420" w:rsidP="00C46F41">
          <w:pPr>
            <w:tabs>
              <w:tab w:val="left" w:pos="5098"/>
            </w:tabs>
            <w:suppressAutoHyphens/>
            <w:rPr>
              <w:rFonts w:cs="Arial"/>
            </w:rPr>
          </w:pPr>
        </w:p>
      </w:tc>
      <w:tc>
        <w:tcPr>
          <w:tcW w:w="1134" w:type="dxa"/>
          <w:shd w:val="clear" w:color="auto" w:fill="auto"/>
        </w:tcPr>
        <w:p w14:paraId="155C0B3E" w14:textId="77777777" w:rsidR="00302420" w:rsidRPr="00E46682" w:rsidRDefault="00302420" w:rsidP="00C46F41">
          <w:pPr>
            <w:tabs>
              <w:tab w:val="left" w:pos="5098"/>
            </w:tabs>
            <w:suppressAutoHyphens/>
            <w:ind w:left="114"/>
            <w:jc w:val="right"/>
            <w:rPr>
              <w:rFonts w:cs="Arial"/>
            </w:rPr>
          </w:pPr>
          <w:r w:rsidRPr="00E46682">
            <w:rPr>
              <w:rFonts w:cs="Arial"/>
            </w:rPr>
            <w:t>Revidoval:</w:t>
          </w:r>
        </w:p>
      </w:tc>
      <w:tc>
        <w:tcPr>
          <w:tcW w:w="1418" w:type="dxa"/>
          <w:tcBorders>
            <w:top w:val="dotted" w:sz="4" w:space="0" w:color="auto"/>
            <w:bottom w:val="dotted" w:sz="4" w:space="0" w:color="auto"/>
          </w:tcBorders>
          <w:shd w:val="clear" w:color="auto" w:fill="auto"/>
        </w:tcPr>
        <w:p w14:paraId="0727FC41" w14:textId="77777777" w:rsidR="00302420" w:rsidRPr="00E46682" w:rsidRDefault="00302420" w:rsidP="00C46F41">
          <w:pPr>
            <w:tabs>
              <w:tab w:val="left" w:pos="5098"/>
            </w:tabs>
            <w:suppressAutoHyphens/>
            <w:rPr>
              <w:rFonts w:cs="Arial"/>
            </w:rPr>
          </w:pPr>
        </w:p>
      </w:tc>
      <w:tc>
        <w:tcPr>
          <w:tcW w:w="992" w:type="dxa"/>
          <w:shd w:val="clear" w:color="auto" w:fill="auto"/>
        </w:tcPr>
        <w:p w14:paraId="24050778" w14:textId="77777777" w:rsidR="00302420" w:rsidRPr="00E46682" w:rsidRDefault="00302420" w:rsidP="00C46F41">
          <w:pPr>
            <w:tabs>
              <w:tab w:val="left" w:pos="5098"/>
            </w:tabs>
            <w:suppressAutoHyphens/>
            <w:ind w:left="114"/>
            <w:jc w:val="right"/>
            <w:rPr>
              <w:rFonts w:cs="Arial"/>
            </w:rPr>
          </w:pPr>
          <w:r w:rsidRPr="00E46682">
            <w:rPr>
              <w:rFonts w:cs="Arial"/>
            </w:rPr>
            <w:t>Datum:</w:t>
          </w:r>
        </w:p>
      </w:tc>
      <w:tc>
        <w:tcPr>
          <w:tcW w:w="1018" w:type="dxa"/>
          <w:tcBorders>
            <w:top w:val="dotted" w:sz="4" w:space="0" w:color="auto"/>
            <w:bottom w:val="dotted" w:sz="4" w:space="0" w:color="auto"/>
          </w:tcBorders>
          <w:shd w:val="clear" w:color="auto" w:fill="auto"/>
        </w:tcPr>
        <w:p w14:paraId="6FFC4B1D" w14:textId="77777777" w:rsidR="00302420" w:rsidRPr="00E46682" w:rsidRDefault="00302420" w:rsidP="00C46F41">
          <w:pPr>
            <w:tabs>
              <w:tab w:val="left" w:pos="5098"/>
            </w:tabs>
            <w:suppressAutoHyphens/>
            <w:rPr>
              <w:rFonts w:cs="Arial"/>
            </w:rPr>
          </w:pPr>
        </w:p>
      </w:tc>
    </w:tr>
  </w:tbl>
  <w:p w14:paraId="26BE892C" w14:textId="77777777" w:rsidR="00302420" w:rsidRDefault="00302420">
    <w:pPr>
      <w:pStyle w:val="Zhlav"/>
    </w:pPr>
  </w:p>
  <w:p w14:paraId="76A12403" w14:textId="77777777" w:rsidR="00302420" w:rsidRDefault="003024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E48"/>
    <w:multiLevelType w:val="hybridMultilevel"/>
    <w:tmpl w:val="0EEA752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2834DF7"/>
    <w:multiLevelType w:val="hybridMultilevel"/>
    <w:tmpl w:val="1A207E82"/>
    <w:lvl w:ilvl="0" w:tplc="040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A61D4"/>
    <w:multiLevelType w:val="hybridMultilevel"/>
    <w:tmpl w:val="02DAD78A"/>
    <w:lvl w:ilvl="0" w:tplc="632E78BA">
      <w:start w:val="1"/>
      <w:numFmt w:val="upperRoman"/>
      <w:lvlText w:val="%1."/>
      <w:lvlJc w:val="left"/>
      <w:pPr>
        <w:ind w:left="10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6" w:hanging="360"/>
      </w:pPr>
    </w:lvl>
    <w:lvl w:ilvl="2" w:tplc="0405001B" w:tentative="1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2B353FF6"/>
    <w:multiLevelType w:val="hybridMultilevel"/>
    <w:tmpl w:val="64B85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2346"/>
    <w:multiLevelType w:val="hybridMultilevel"/>
    <w:tmpl w:val="76761394"/>
    <w:lvl w:ilvl="0" w:tplc="BE14A60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CA702CC"/>
    <w:multiLevelType w:val="hybridMultilevel"/>
    <w:tmpl w:val="93500584"/>
    <w:lvl w:ilvl="0" w:tplc="BE44E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A29C2"/>
    <w:multiLevelType w:val="hybridMultilevel"/>
    <w:tmpl w:val="6A8E5174"/>
    <w:lvl w:ilvl="0" w:tplc="3FC6F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D42FE"/>
    <w:multiLevelType w:val="hybridMultilevel"/>
    <w:tmpl w:val="76761394"/>
    <w:lvl w:ilvl="0" w:tplc="BE14A60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3D910CB"/>
    <w:multiLevelType w:val="hybridMultilevel"/>
    <w:tmpl w:val="B79EA662"/>
    <w:lvl w:ilvl="0" w:tplc="AF2A5B72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59C806E3"/>
    <w:multiLevelType w:val="hybridMultilevel"/>
    <w:tmpl w:val="B9080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226A"/>
    <w:multiLevelType w:val="hybridMultilevel"/>
    <w:tmpl w:val="8AFEAD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010827"/>
    <w:multiLevelType w:val="hybridMultilevel"/>
    <w:tmpl w:val="1556EDD2"/>
    <w:lvl w:ilvl="0" w:tplc="AAD2B7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5D5045"/>
    <w:multiLevelType w:val="hybridMultilevel"/>
    <w:tmpl w:val="B3D22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2DocOpenMode" w:val="AS2DocumentEdit"/>
  </w:docVars>
  <w:rsids>
    <w:rsidRoot w:val="004F363C"/>
    <w:rsid w:val="0000032F"/>
    <w:rsid w:val="00003067"/>
    <w:rsid w:val="000033AA"/>
    <w:rsid w:val="00006055"/>
    <w:rsid w:val="00016760"/>
    <w:rsid w:val="00017222"/>
    <w:rsid w:val="00017C1C"/>
    <w:rsid w:val="00023EDC"/>
    <w:rsid w:val="0005462D"/>
    <w:rsid w:val="000616F7"/>
    <w:rsid w:val="00062741"/>
    <w:rsid w:val="00064138"/>
    <w:rsid w:val="000A5E60"/>
    <w:rsid w:val="000B7FA2"/>
    <w:rsid w:val="000E042E"/>
    <w:rsid w:val="000E5090"/>
    <w:rsid w:val="000E5E4E"/>
    <w:rsid w:val="000F2875"/>
    <w:rsid w:val="00120A22"/>
    <w:rsid w:val="0012119C"/>
    <w:rsid w:val="00124EAC"/>
    <w:rsid w:val="001310C8"/>
    <w:rsid w:val="001372AB"/>
    <w:rsid w:val="00144052"/>
    <w:rsid w:val="00166F9C"/>
    <w:rsid w:val="0018006B"/>
    <w:rsid w:val="00181903"/>
    <w:rsid w:val="00184F86"/>
    <w:rsid w:val="0019062A"/>
    <w:rsid w:val="001B0869"/>
    <w:rsid w:val="001B5A96"/>
    <w:rsid w:val="001B76C7"/>
    <w:rsid w:val="001E451B"/>
    <w:rsid w:val="001F6B4F"/>
    <w:rsid w:val="0020481E"/>
    <w:rsid w:val="00204C2D"/>
    <w:rsid w:val="00224A70"/>
    <w:rsid w:val="00227AF1"/>
    <w:rsid w:val="0026028D"/>
    <w:rsid w:val="002751A4"/>
    <w:rsid w:val="00290929"/>
    <w:rsid w:val="002926A1"/>
    <w:rsid w:val="002A116A"/>
    <w:rsid w:val="002A1478"/>
    <w:rsid w:val="002A1D62"/>
    <w:rsid w:val="002A4155"/>
    <w:rsid w:val="002A6B49"/>
    <w:rsid w:val="002A733A"/>
    <w:rsid w:val="002B6158"/>
    <w:rsid w:val="002C55BC"/>
    <w:rsid w:val="002D2B2B"/>
    <w:rsid w:val="002E63B8"/>
    <w:rsid w:val="002F6EE3"/>
    <w:rsid w:val="00302420"/>
    <w:rsid w:val="00304319"/>
    <w:rsid w:val="00305EC1"/>
    <w:rsid w:val="00322E86"/>
    <w:rsid w:val="00345CCA"/>
    <w:rsid w:val="00356D16"/>
    <w:rsid w:val="0035787E"/>
    <w:rsid w:val="003666AF"/>
    <w:rsid w:val="00375BB8"/>
    <w:rsid w:val="00376D98"/>
    <w:rsid w:val="003775D6"/>
    <w:rsid w:val="00391035"/>
    <w:rsid w:val="003B7B14"/>
    <w:rsid w:val="003D0DFC"/>
    <w:rsid w:val="004141DC"/>
    <w:rsid w:val="004519F7"/>
    <w:rsid w:val="00464AD7"/>
    <w:rsid w:val="00470805"/>
    <w:rsid w:val="00483D79"/>
    <w:rsid w:val="00490632"/>
    <w:rsid w:val="004A1A8E"/>
    <w:rsid w:val="004B6A1C"/>
    <w:rsid w:val="004B781D"/>
    <w:rsid w:val="004D3A58"/>
    <w:rsid w:val="004D6274"/>
    <w:rsid w:val="004D6A27"/>
    <w:rsid w:val="004F363C"/>
    <w:rsid w:val="0050369F"/>
    <w:rsid w:val="00510400"/>
    <w:rsid w:val="00531C48"/>
    <w:rsid w:val="00535D51"/>
    <w:rsid w:val="0055181D"/>
    <w:rsid w:val="00554D18"/>
    <w:rsid w:val="005667B8"/>
    <w:rsid w:val="00570945"/>
    <w:rsid w:val="00581375"/>
    <w:rsid w:val="00587323"/>
    <w:rsid w:val="005964FD"/>
    <w:rsid w:val="00597743"/>
    <w:rsid w:val="005A0653"/>
    <w:rsid w:val="005A2740"/>
    <w:rsid w:val="005B06BF"/>
    <w:rsid w:val="005C2CB1"/>
    <w:rsid w:val="005D2FDF"/>
    <w:rsid w:val="005D5EF1"/>
    <w:rsid w:val="005E41DD"/>
    <w:rsid w:val="0060402F"/>
    <w:rsid w:val="0061146D"/>
    <w:rsid w:val="00622037"/>
    <w:rsid w:val="00625D08"/>
    <w:rsid w:val="0065271B"/>
    <w:rsid w:val="00657EEC"/>
    <w:rsid w:val="00666E58"/>
    <w:rsid w:val="00666F17"/>
    <w:rsid w:val="006749EA"/>
    <w:rsid w:val="0069145B"/>
    <w:rsid w:val="00693830"/>
    <w:rsid w:val="006B28D9"/>
    <w:rsid w:val="006C04B0"/>
    <w:rsid w:val="006E579D"/>
    <w:rsid w:val="006F34CB"/>
    <w:rsid w:val="00701B26"/>
    <w:rsid w:val="0071772E"/>
    <w:rsid w:val="00726C2C"/>
    <w:rsid w:val="00746109"/>
    <w:rsid w:val="00752208"/>
    <w:rsid w:val="00755799"/>
    <w:rsid w:val="007671FD"/>
    <w:rsid w:val="00770C67"/>
    <w:rsid w:val="00776499"/>
    <w:rsid w:val="007837E0"/>
    <w:rsid w:val="007A6657"/>
    <w:rsid w:val="007A7B4E"/>
    <w:rsid w:val="007B473C"/>
    <w:rsid w:val="007B641D"/>
    <w:rsid w:val="007D4827"/>
    <w:rsid w:val="007D5C1F"/>
    <w:rsid w:val="007E7139"/>
    <w:rsid w:val="008017E3"/>
    <w:rsid w:val="0080196D"/>
    <w:rsid w:val="00802CA3"/>
    <w:rsid w:val="00805716"/>
    <w:rsid w:val="0081600E"/>
    <w:rsid w:val="00821AE8"/>
    <w:rsid w:val="00824720"/>
    <w:rsid w:val="008337A9"/>
    <w:rsid w:val="00836217"/>
    <w:rsid w:val="00851491"/>
    <w:rsid w:val="00872BF3"/>
    <w:rsid w:val="008828AE"/>
    <w:rsid w:val="008B6F4D"/>
    <w:rsid w:val="008C567C"/>
    <w:rsid w:val="008D38ED"/>
    <w:rsid w:val="008D7C28"/>
    <w:rsid w:val="008F17FE"/>
    <w:rsid w:val="00906A4F"/>
    <w:rsid w:val="009403D3"/>
    <w:rsid w:val="00975618"/>
    <w:rsid w:val="0098498D"/>
    <w:rsid w:val="009B04A1"/>
    <w:rsid w:val="009C0C01"/>
    <w:rsid w:val="009E14C4"/>
    <w:rsid w:val="009F4393"/>
    <w:rsid w:val="00A21F1A"/>
    <w:rsid w:val="00A43FCC"/>
    <w:rsid w:val="00A67072"/>
    <w:rsid w:val="00A67DFF"/>
    <w:rsid w:val="00A86574"/>
    <w:rsid w:val="00A93A56"/>
    <w:rsid w:val="00AD1486"/>
    <w:rsid w:val="00AD19D8"/>
    <w:rsid w:val="00AD3450"/>
    <w:rsid w:val="00AE2F1F"/>
    <w:rsid w:val="00B018D1"/>
    <w:rsid w:val="00B10130"/>
    <w:rsid w:val="00B36CAE"/>
    <w:rsid w:val="00B43AFA"/>
    <w:rsid w:val="00B65548"/>
    <w:rsid w:val="00BC0A4F"/>
    <w:rsid w:val="00BC3BA0"/>
    <w:rsid w:val="00BC4797"/>
    <w:rsid w:val="00BD6268"/>
    <w:rsid w:val="00BE27A7"/>
    <w:rsid w:val="00BF467B"/>
    <w:rsid w:val="00C0672A"/>
    <w:rsid w:val="00C3086A"/>
    <w:rsid w:val="00C31BA1"/>
    <w:rsid w:val="00C33063"/>
    <w:rsid w:val="00C46F41"/>
    <w:rsid w:val="00C52DBF"/>
    <w:rsid w:val="00C54F84"/>
    <w:rsid w:val="00C55B0F"/>
    <w:rsid w:val="00C55C42"/>
    <w:rsid w:val="00C63683"/>
    <w:rsid w:val="00C869FF"/>
    <w:rsid w:val="00CB5EDA"/>
    <w:rsid w:val="00CC6495"/>
    <w:rsid w:val="00CD1292"/>
    <w:rsid w:val="00CF5807"/>
    <w:rsid w:val="00CF731C"/>
    <w:rsid w:val="00D53563"/>
    <w:rsid w:val="00D56DB9"/>
    <w:rsid w:val="00D63B8B"/>
    <w:rsid w:val="00D90685"/>
    <w:rsid w:val="00DA42DB"/>
    <w:rsid w:val="00DD29F2"/>
    <w:rsid w:val="00DF084D"/>
    <w:rsid w:val="00E0344D"/>
    <w:rsid w:val="00E07726"/>
    <w:rsid w:val="00E113D4"/>
    <w:rsid w:val="00E12388"/>
    <w:rsid w:val="00E15393"/>
    <w:rsid w:val="00E400FB"/>
    <w:rsid w:val="00E410D7"/>
    <w:rsid w:val="00E44A16"/>
    <w:rsid w:val="00E47ABF"/>
    <w:rsid w:val="00E50B0C"/>
    <w:rsid w:val="00E544C3"/>
    <w:rsid w:val="00E608E6"/>
    <w:rsid w:val="00E73DDF"/>
    <w:rsid w:val="00E87D8A"/>
    <w:rsid w:val="00E9013C"/>
    <w:rsid w:val="00E90DE9"/>
    <w:rsid w:val="00E91614"/>
    <w:rsid w:val="00EB387B"/>
    <w:rsid w:val="00EB55F2"/>
    <w:rsid w:val="00ED09B3"/>
    <w:rsid w:val="00ED4B79"/>
    <w:rsid w:val="00ED581F"/>
    <w:rsid w:val="00EF31C6"/>
    <w:rsid w:val="00EF425C"/>
    <w:rsid w:val="00F0156A"/>
    <w:rsid w:val="00F05F6F"/>
    <w:rsid w:val="00F06F5E"/>
    <w:rsid w:val="00F1742A"/>
    <w:rsid w:val="00F21009"/>
    <w:rsid w:val="00F232E4"/>
    <w:rsid w:val="00F40F8C"/>
    <w:rsid w:val="00F5644E"/>
    <w:rsid w:val="00F617BF"/>
    <w:rsid w:val="00F63FAF"/>
    <w:rsid w:val="00F73C78"/>
    <w:rsid w:val="00F8399E"/>
    <w:rsid w:val="00F84CCA"/>
    <w:rsid w:val="00FA1C52"/>
    <w:rsid w:val="00FC2279"/>
    <w:rsid w:val="00FC70B6"/>
    <w:rsid w:val="00FD28B2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54AD8"/>
  <w15:chartTrackingRefBased/>
  <w15:docId w15:val="{00113551-26F6-4C82-ABF6-27C07566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B5A9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Head">
    <w:name w:val="A Head"/>
    <w:rPr>
      <w:rFonts w:ascii="Swiss Roman 08pt" w:hAnsi="Swiss Roman 08pt"/>
      <w:noProof w:val="0"/>
      <w:sz w:val="16"/>
      <w:lang w:val="en-US"/>
    </w:rPr>
  </w:style>
  <w:style w:type="character" w:customStyle="1" w:styleId="BHead">
    <w:name w:val="B Head"/>
    <w:rPr>
      <w:rFonts w:ascii="Swiss Roman 08pt" w:hAnsi="Swiss Roman 08pt"/>
      <w:noProof w:val="0"/>
      <w:sz w:val="16"/>
      <w:lang w:val="en-US"/>
    </w:rPr>
  </w:style>
  <w:style w:type="character" w:customStyle="1" w:styleId="QuestHead">
    <w:name w:val="QuestHead"/>
    <w:basedOn w:val="Standardnpsmoodstavce"/>
  </w:style>
  <w:style w:type="character" w:customStyle="1" w:styleId="Bullet">
    <w:name w:val="Bullet"/>
    <w:basedOn w:val="Standardnpsmoodstavce"/>
  </w:style>
  <w:style w:type="character" w:customStyle="1" w:styleId="SectionHead">
    <w:name w:val="SectionHead"/>
    <w:rPr>
      <w:rFonts w:ascii="Courier New" w:hAnsi="Courier New"/>
      <w:noProof w:val="0"/>
      <w:sz w:val="20"/>
      <w:lang w:val="en-US"/>
    </w:rPr>
  </w:style>
  <w:style w:type="character" w:customStyle="1" w:styleId="Columns">
    <w:name w:val="Columns"/>
    <w:rPr>
      <w:rFonts w:ascii="Swiss Roman 08pt" w:hAnsi="Swiss Roman 08pt"/>
      <w:noProof w:val="0"/>
      <w:sz w:val="16"/>
      <w:lang w:val="en-US"/>
    </w:rPr>
  </w:style>
  <w:style w:type="paragraph" w:styleId="Obsah1">
    <w:name w:val="toc 1"/>
    <w:basedOn w:val="Normln"/>
    <w:next w:val="Normln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  <w:rPr>
      <w:sz w:val="24"/>
    </w:rPr>
  </w:style>
  <w:style w:type="character" w:customStyle="1" w:styleId="EquationCaption">
    <w:name w:val="_Equation Caption"/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Cs w:val="16"/>
    </w:rPr>
  </w:style>
  <w:style w:type="paragraph" w:styleId="Revize">
    <w:name w:val="Revision"/>
    <w:hidden/>
    <w:uiPriority w:val="99"/>
    <w:semiHidden/>
    <w:rsid w:val="00290929"/>
    <w:rPr>
      <w:rFonts w:ascii="RomanEES" w:hAnsi="RomanEES"/>
      <w:sz w:val="16"/>
      <w:lang w:val="cs-CZ"/>
    </w:rPr>
  </w:style>
  <w:style w:type="character" w:styleId="Odkaznakoment">
    <w:name w:val="annotation reference"/>
    <w:rsid w:val="004B78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781D"/>
    <w:rPr>
      <w:lang w:val="x-none"/>
    </w:rPr>
  </w:style>
  <w:style w:type="character" w:customStyle="1" w:styleId="TextkomenteChar">
    <w:name w:val="Text komentáře Char"/>
    <w:link w:val="Textkomente"/>
    <w:rsid w:val="004B781D"/>
    <w:rPr>
      <w:rFonts w:ascii="RomanEES" w:hAnsi="RomanEE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781D"/>
    <w:rPr>
      <w:b/>
      <w:bCs/>
    </w:rPr>
  </w:style>
  <w:style w:type="character" w:customStyle="1" w:styleId="PedmtkomenteChar">
    <w:name w:val="Předmět komentáře Char"/>
    <w:link w:val="Pedmtkomente"/>
    <w:rsid w:val="004B781D"/>
    <w:rPr>
      <w:rFonts w:ascii="RomanEES" w:hAnsi="RomanEE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4282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100</vt:lpstr>
      <vt:lpstr>100</vt:lpstr>
    </vt:vector>
  </TitlesOfParts>
  <Company>Deloitte.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</dc:title>
  <dc:subject>Planning &amp; risk assessment program</dc:subject>
  <dc:creator>Michal Šindelář</dc:creator>
  <cp:keywords/>
  <cp:lastModifiedBy>Alena Beranová</cp:lastModifiedBy>
  <cp:revision>3</cp:revision>
  <cp:lastPrinted>2011-09-29T10:50:00Z</cp:lastPrinted>
  <dcterms:created xsi:type="dcterms:W3CDTF">2022-10-31T16:03:00Z</dcterms:created>
  <dcterms:modified xsi:type="dcterms:W3CDTF">2022-11-16T08:24:00Z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2022-08-29T15:19:34Z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8b56c459-585e-41de-aa28-7c38ebba071f</vt:lpwstr>
  </property>
  <property fmtid="{D5CDD505-2E9C-101B-9397-08002B2CF9AE}" pid="8" name="MSIP_Label_ea60d57e-af5b-4752-ac57-3e4f28ca11dc_ContentBits">
    <vt:lpwstr>0</vt:lpwstr>
  </property>
</Properties>
</file>