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76A62" w14:textId="3C6356F5" w:rsidR="002604CB" w:rsidRPr="005E08DF" w:rsidRDefault="00394577" w:rsidP="005E08DF">
      <w:pPr>
        <w:pStyle w:val="Nadpis1"/>
        <w:jc w:val="center"/>
        <w:rPr>
          <w:b/>
          <w:bCs/>
        </w:rPr>
      </w:pPr>
      <w:r w:rsidRPr="005E08DF">
        <w:rPr>
          <w:b/>
          <w:bCs/>
        </w:rPr>
        <w:t>ISQM 1</w:t>
      </w:r>
    </w:p>
    <w:p w14:paraId="20FA8855" w14:textId="0DA97D60" w:rsidR="00394577" w:rsidRPr="005E08DF" w:rsidRDefault="00D76FD4" w:rsidP="005E08DF">
      <w:pPr>
        <w:pStyle w:val="Nadpis1"/>
        <w:jc w:val="center"/>
        <w:rPr>
          <w:b/>
          <w:bCs/>
        </w:rPr>
      </w:pPr>
      <w:r>
        <w:rPr>
          <w:b/>
          <w:bCs/>
        </w:rPr>
        <w:t>V OTÁZKÁCH A ODPOVĚDÍCH</w:t>
      </w:r>
    </w:p>
    <w:p w14:paraId="1745B560" w14:textId="77777777" w:rsidR="00394577" w:rsidRDefault="00394577"/>
    <w:p w14:paraId="4365C8C7" w14:textId="77777777" w:rsidR="00394577" w:rsidRDefault="00394577"/>
    <w:p w14:paraId="5450EC2E" w14:textId="330CBEC3" w:rsidR="00FB73FA" w:rsidRDefault="00FB73FA" w:rsidP="00FB73FA">
      <w:pPr>
        <w:jc w:val="both"/>
        <w:rPr>
          <w:lang w:val="cs-CZ"/>
        </w:rPr>
      </w:pPr>
      <w:r w:rsidRPr="00FB73FA">
        <w:rPr>
          <w:lang w:val="cs-CZ"/>
        </w:rPr>
        <w:t>Tento dokument slouží k sumarizaci nejčastějších dotazů z dosavadních seminářů týkajících se standard</w:t>
      </w:r>
      <w:r w:rsidR="00FF082A">
        <w:rPr>
          <w:lang w:val="cs-CZ"/>
        </w:rPr>
        <w:t>u</w:t>
      </w:r>
      <w:r w:rsidRPr="00FB73FA">
        <w:rPr>
          <w:lang w:val="cs-CZ"/>
        </w:rPr>
        <w:t xml:space="preserve"> ISQM 1 a odpovědí na tyto dotazy. Není vyčerpávajícím seznamem všech otázek, které se používání standard ISQM 1 týkají a mohly by se ještě v budoucnu týkat. </w:t>
      </w:r>
    </w:p>
    <w:p w14:paraId="5704C6C9" w14:textId="68F0394D" w:rsidR="00FB4BC9" w:rsidRDefault="00FB4BC9" w:rsidP="00FB73FA">
      <w:pPr>
        <w:jc w:val="both"/>
        <w:rPr>
          <w:lang w:val="cs-CZ"/>
        </w:rPr>
      </w:pPr>
      <w:r>
        <w:rPr>
          <w:lang w:val="cs-CZ"/>
        </w:rPr>
        <w:t>Dotazy jsou položeny v kategoriích</w:t>
      </w:r>
    </w:p>
    <w:p w14:paraId="51A848B2" w14:textId="086C5377" w:rsidR="00FB4BC9" w:rsidRPr="00FB4BC9" w:rsidRDefault="00FB4BC9" w:rsidP="000C1B3A">
      <w:pPr>
        <w:pStyle w:val="Odstavecseseznamem"/>
        <w:numPr>
          <w:ilvl w:val="0"/>
          <w:numId w:val="5"/>
        </w:numPr>
        <w:jc w:val="both"/>
        <w:rPr>
          <w:lang w:val="cs-CZ"/>
        </w:rPr>
      </w:pPr>
      <w:r w:rsidRPr="00FB4BC9">
        <w:rPr>
          <w:lang w:val="cs-CZ"/>
        </w:rPr>
        <w:t>Osoba provádějící monitoring</w:t>
      </w:r>
    </w:p>
    <w:p w14:paraId="02A66EB4" w14:textId="5EFFD7E7" w:rsidR="00FB4BC9" w:rsidRPr="00FB4BC9" w:rsidRDefault="00FB4BC9" w:rsidP="000C1B3A">
      <w:pPr>
        <w:pStyle w:val="Odstavecseseznamem"/>
        <w:numPr>
          <w:ilvl w:val="0"/>
          <w:numId w:val="5"/>
        </w:numPr>
        <w:jc w:val="both"/>
        <w:rPr>
          <w:lang w:val="cs-CZ"/>
        </w:rPr>
      </w:pPr>
      <w:r w:rsidRPr="00FB4BC9">
        <w:rPr>
          <w:lang w:val="cs-CZ"/>
        </w:rPr>
        <w:t>Dokumentace monitoringu</w:t>
      </w:r>
    </w:p>
    <w:p w14:paraId="6CE5BD85" w14:textId="3FF58492" w:rsidR="00FB4BC9" w:rsidRPr="00FB4BC9" w:rsidRDefault="00FB4BC9" w:rsidP="000C1B3A">
      <w:pPr>
        <w:pStyle w:val="Odstavecseseznamem"/>
        <w:numPr>
          <w:ilvl w:val="0"/>
          <w:numId w:val="5"/>
        </w:numPr>
        <w:jc w:val="both"/>
        <w:rPr>
          <w:lang w:val="cs-CZ"/>
        </w:rPr>
      </w:pPr>
      <w:r w:rsidRPr="00FB4BC9">
        <w:rPr>
          <w:lang w:val="cs-CZ"/>
        </w:rPr>
        <w:t xml:space="preserve">Vlastní standard ISQM 1 </w:t>
      </w:r>
    </w:p>
    <w:p w14:paraId="157E1574" w14:textId="4792B104" w:rsidR="00FB4BC9" w:rsidRPr="00FB4BC9" w:rsidRDefault="00FB4BC9" w:rsidP="000C1B3A">
      <w:pPr>
        <w:pStyle w:val="Odstavecseseznamem"/>
        <w:numPr>
          <w:ilvl w:val="0"/>
          <w:numId w:val="5"/>
        </w:numPr>
        <w:jc w:val="both"/>
        <w:rPr>
          <w:lang w:val="cs-CZ"/>
        </w:rPr>
      </w:pPr>
      <w:r w:rsidRPr="00FB4BC9">
        <w:rPr>
          <w:lang w:val="cs-CZ"/>
        </w:rPr>
        <w:t xml:space="preserve">Ostatní </w:t>
      </w:r>
    </w:p>
    <w:p w14:paraId="40107523" w14:textId="77777777" w:rsidR="000E23CF" w:rsidRDefault="000E23CF" w:rsidP="00FB73FA">
      <w:pPr>
        <w:jc w:val="both"/>
        <w:rPr>
          <w:lang w:val="cs-CZ"/>
        </w:rPr>
      </w:pPr>
    </w:p>
    <w:p w14:paraId="616CF68E" w14:textId="4A96C3F2" w:rsidR="00F101EC" w:rsidRPr="00FC114A" w:rsidRDefault="005E08DF" w:rsidP="000C1B3A">
      <w:pPr>
        <w:pStyle w:val="Nadpis2"/>
        <w:numPr>
          <w:ilvl w:val="0"/>
          <w:numId w:val="6"/>
        </w:numPr>
        <w:rPr>
          <w:b/>
          <w:bCs/>
          <w:u w:val="single"/>
          <w:lang w:val="cs-CZ"/>
        </w:rPr>
      </w:pPr>
      <w:r w:rsidRPr="00FC114A">
        <w:rPr>
          <w:b/>
          <w:bCs/>
          <w:u w:val="single"/>
          <w:lang w:val="cs-CZ"/>
        </w:rPr>
        <w:t>Osoba provádějící monitoring</w:t>
      </w:r>
    </w:p>
    <w:p w14:paraId="63A315BD" w14:textId="77777777" w:rsidR="005E08DF" w:rsidRDefault="005E08DF" w:rsidP="00FB73FA">
      <w:pPr>
        <w:jc w:val="both"/>
        <w:rPr>
          <w:lang w:val="cs-CZ"/>
        </w:rPr>
      </w:pPr>
    </w:p>
    <w:tbl>
      <w:tblPr>
        <w:tblStyle w:val="Tabulkasmkou4zvraznn1"/>
        <w:tblW w:w="9360" w:type="dxa"/>
        <w:tblInd w:w="-5" w:type="dxa"/>
        <w:tblLook w:val="04A0" w:firstRow="1" w:lastRow="0" w:firstColumn="1" w:lastColumn="0" w:noHBand="0" w:noVBand="1"/>
      </w:tblPr>
      <w:tblGrid>
        <w:gridCol w:w="5400"/>
        <w:gridCol w:w="3960"/>
      </w:tblGrid>
      <w:tr w:rsidR="00B670AF" w14:paraId="4BA17C70" w14:textId="77777777" w:rsidTr="00CC2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3712BF8" w14:textId="77777777" w:rsidR="00B670AF" w:rsidRDefault="00B670AF" w:rsidP="00F16BEC">
            <w:pPr>
              <w:jc w:val="both"/>
              <w:rPr>
                <w:lang w:val="cs-CZ"/>
              </w:rPr>
            </w:pPr>
            <w:bookmarkStart w:id="0" w:name="_Hlk165363519"/>
            <w:r>
              <w:rPr>
                <w:lang w:val="cs-CZ"/>
              </w:rPr>
              <w:t>Dotaz</w:t>
            </w:r>
          </w:p>
        </w:tc>
        <w:tc>
          <w:tcPr>
            <w:tcW w:w="3960" w:type="dxa"/>
          </w:tcPr>
          <w:p w14:paraId="77B0906C" w14:textId="77777777" w:rsidR="00B670AF" w:rsidRDefault="00B670AF" w:rsidP="00F16BEC">
            <w:pPr>
              <w:jc w:val="both"/>
              <w:cnfStyle w:val="100000000000" w:firstRow="1" w:lastRow="0" w:firstColumn="0" w:lastColumn="0" w:oddVBand="0" w:evenVBand="0" w:oddHBand="0" w:evenHBand="0" w:firstRowFirstColumn="0" w:firstRowLastColumn="0" w:lastRowFirstColumn="0" w:lastRowLastColumn="0"/>
              <w:rPr>
                <w:lang w:val="cs-CZ"/>
              </w:rPr>
            </w:pPr>
            <w:r>
              <w:rPr>
                <w:lang w:val="cs-CZ"/>
              </w:rPr>
              <w:t>Odpověď</w:t>
            </w:r>
          </w:p>
        </w:tc>
      </w:tr>
      <w:bookmarkEnd w:id="0"/>
      <w:tr w:rsidR="00B670AF" w:rsidRPr="00B7753B" w14:paraId="799E12A6" w14:textId="77777777" w:rsidTr="00CC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7C49A00D" w14:textId="40F9A417" w:rsidR="00B670AF" w:rsidRPr="007F6C1C" w:rsidRDefault="00B670AF" w:rsidP="00F16BEC">
            <w:pPr>
              <w:pStyle w:val="Odstavecseseznamem"/>
              <w:numPr>
                <w:ilvl w:val="0"/>
                <w:numId w:val="1"/>
              </w:numPr>
              <w:ind w:left="432"/>
              <w:jc w:val="both"/>
              <w:rPr>
                <w:b w:val="0"/>
                <w:bCs w:val="0"/>
                <w:lang w:val="cs-CZ"/>
              </w:rPr>
            </w:pPr>
            <w:r w:rsidRPr="007F6C1C">
              <w:rPr>
                <w:lang w:val="cs-CZ"/>
              </w:rPr>
              <w:t xml:space="preserve">Musí být </w:t>
            </w:r>
            <w:r>
              <w:rPr>
                <w:lang w:val="cs-CZ"/>
              </w:rPr>
              <w:t xml:space="preserve">monitorovací činnost </w:t>
            </w:r>
            <w:r w:rsidR="00AA124B">
              <w:rPr>
                <w:lang w:val="cs-CZ"/>
              </w:rPr>
              <w:t>provedena auditorem</w:t>
            </w:r>
            <w:r>
              <w:rPr>
                <w:lang w:val="cs-CZ"/>
              </w:rPr>
              <w:t>?</w:t>
            </w:r>
          </w:p>
        </w:tc>
        <w:tc>
          <w:tcPr>
            <w:tcW w:w="3960" w:type="dxa"/>
          </w:tcPr>
          <w:p w14:paraId="2F8E1A92" w14:textId="2821B77B" w:rsidR="00B670AF" w:rsidRPr="007F6C1C"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Monitorovací činnost nemusí být provedena auditorem. Je však třeba, aby osoba provádějící monitoring měla náležité odborné předpoklady a schopnosti, dostatek času a byla objektivní, tj. nestranná ve smyslu etického kodexu. </w:t>
            </w:r>
          </w:p>
        </w:tc>
      </w:tr>
      <w:tr w:rsidR="00B670AF" w:rsidRPr="009045F0" w14:paraId="233F063E" w14:textId="77777777" w:rsidTr="00CC21CD">
        <w:tc>
          <w:tcPr>
            <w:cnfStyle w:val="001000000000" w:firstRow="0" w:lastRow="0" w:firstColumn="1" w:lastColumn="0" w:oddVBand="0" w:evenVBand="0" w:oddHBand="0" w:evenHBand="0" w:firstRowFirstColumn="0" w:firstRowLastColumn="0" w:lastRowFirstColumn="0" w:lastRowLastColumn="0"/>
            <w:tcW w:w="5400" w:type="dxa"/>
          </w:tcPr>
          <w:p w14:paraId="36C220CE" w14:textId="77777777" w:rsidR="00B670AF" w:rsidRPr="007F6C1C" w:rsidRDefault="00B670AF" w:rsidP="00F16BEC">
            <w:pPr>
              <w:pStyle w:val="Odstavecseseznamem"/>
              <w:numPr>
                <w:ilvl w:val="0"/>
                <w:numId w:val="1"/>
              </w:numPr>
              <w:ind w:left="432"/>
              <w:jc w:val="both"/>
              <w:rPr>
                <w:b w:val="0"/>
                <w:bCs w:val="0"/>
                <w:lang w:val="cs-CZ"/>
              </w:rPr>
            </w:pPr>
            <w:r>
              <w:rPr>
                <w:lang w:val="cs-CZ"/>
              </w:rPr>
              <w:t>Je odborně způsobilou osobou pro provádění monitorovacích činností odborník na IT?</w:t>
            </w:r>
          </w:p>
        </w:tc>
        <w:tc>
          <w:tcPr>
            <w:tcW w:w="3960" w:type="dxa"/>
          </w:tcPr>
          <w:p w14:paraId="50713D07" w14:textId="77777777" w:rsidR="00B670AF" w:rsidRPr="007F6C1C" w:rsidRDefault="00B670AF" w:rsidP="00F16BEC">
            <w:pPr>
              <w:jc w:val="both"/>
              <w:cnfStyle w:val="000000000000" w:firstRow="0" w:lastRow="0" w:firstColumn="0" w:lastColumn="0" w:oddVBand="0" w:evenVBand="0" w:oddHBand="0" w:evenHBand="0" w:firstRowFirstColumn="0" w:firstRowLastColumn="0" w:lastRowFirstColumn="0" w:lastRowLastColumn="0"/>
              <w:rPr>
                <w:lang w:val="cs-CZ"/>
              </w:rPr>
            </w:pPr>
            <w:r>
              <w:rPr>
                <w:lang w:val="cs-CZ"/>
              </w:rPr>
              <w:t xml:space="preserve">Nelze jednoznačně odpovědět, zda odborník na IT je odborně způsobilou osobou k provádění monitorovacích činností. Pokud bude osobou splňující požadavky příslušných článků ISQM 1 (viz otázka 1), pak ano. Samotné označení „odborníkem na IT“ není postačující. </w:t>
            </w:r>
          </w:p>
        </w:tc>
      </w:tr>
      <w:tr w:rsidR="00B670AF" w:rsidRPr="002875FF" w14:paraId="48E72218" w14:textId="77777777" w:rsidTr="00CC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0D78C485" w14:textId="77777777" w:rsidR="00B670AF" w:rsidRPr="007F6C1C" w:rsidRDefault="00B670AF" w:rsidP="00F16BEC">
            <w:pPr>
              <w:pStyle w:val="Odstavecseseznamem"/>
              <w:numPr>
                <w:ilvl w:val="0"/>
                <w:numId w:val="1"/>
              </w:numPr>
              <w:ind w:left="432"/>
              <w:jc w:val="both"/>
              <w:rPr>
                <w:b w:val="0"/>
                <w:bCs w:val="0"/>
                <w:lang w:val="cs-CZ"/>
              </w:rPr>
            </w:pPr>
            <w:r>
              <w:rPr>
                <w:lang w:val="cs-CZ"/>
              </w:rPr>
              <w:t>To jsem si měla najmout jiného auditora (externího pracovníka), který měl monitorovací činnosti provést?</w:t>
            </w:r>
          </w:p>
        </w:tc>
        <w:tc>
          <w:tcPr>
            <w:tcW w:w="3960" w:type="dxa"/>
          </w:tcPr>
          <w:p w14:paraId="6D17E633" w14:textId="77777777" w:rsidR="00B670AF" w:rsidRPr="007F6C1C"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Pokud v rámci vlastní auditorské praxe nemohu zajistit osobu či osoby, které by byly schopny provést monitoring ve smyslu standardu ISQM 1, tedy při dodržení článku 39 a článků A155, pak si musím najmout jinou odborně způsobilou osobu či osoby, které monitoring provedou (viz ISQM 1 odst. A156). </w:t>
            </w:r>
          </w:p>
        </w:tc>
      </w:tr>
      <w:tr w:rsidR="00B670AF" w14:paraId="5049758D" w14:textId="77777777" w:rsidTr="00CC21CD">
        <w:tc>
          <w:tcPr>
            <w:cnfStyle w:val="001000000000" w:firstRow="0" w:lastRow="0" w:firstColumn="1" w:lastColumn="0" w:oddVBand="0" w:evenVBand="0" w:oddHBand="0" w:evenHBand="0" w:firstRowFirstColumn="0" w:firstRowLastColumn="0" w:lastRowFirstColumn="0" w:lastRowLastColumn="0"/>
            <w:tcW w:w="5400" w:type="dxa"/>
          </w:tcPr>
          <w:p w14:paraId="79EF5748" w14:textId="77777777" w:rsidR="00B670AF" w:rsidRPr="007F6C1C" w:rsidRDefault="00B670AF" w:rsidP="00F16BEC">
            <w:pPr>
              <w:pStyle w:val="Odstavecseseznamem"/>
              <w:numPr>
                <w:ilvl w:val="0"/>
                <w:numId w:val="1"/>
              </w:numPr>
              <w:ind w:left="432"/>
              <w:jc w:val="both"/>
              <w:rPr>
                <w:b w:val="0"/>
                <w:bCs w:val="0"/>
                <w:lang w:val="cs-CZ"/>
              </w:rPr>
            </w:pPr>
            <w:r>
              <w:rPr>
                <w:lang w:val="cs-CZ"/>
              </w:rPr>
              <w:lastRenderedPageBreak/>
              <w:t>Jak bude postihován auditor, který dělal externí monitoring a neměl žádná zjištění, ačkoliv je mít měl?</w:t>
            </w:r>
          </w:p>
        </w:tc>
        <w:tc>
          <w:tcPr>
            <w:tcW w:w="3960" w:type="dxa"/>
          </w:tcPr>
          <w:p w14:paraId="6DF44D61" w14:textId="77777777" w:rsidR="00B670AF" w:rsidRPr="007F6C1C" w:rsidRDefault="00B670AF" w:rsidP="00F16BEC">
            <w:pPr>
              <w:jc w:val="both"/>
              <w:cnfStyle w:val="000000000000" w:firstRow="0" w:lastRow="0" w:firstColumn="0" w:lastColumn="0" w:oddVBand="0" w:evenVBand="0" w:oddHBand="0" w:evenHBand="0" w:firstRowFirstColumn="0" w:firstRowLastColumn="0" w:lastRowFirstColumn="0" w:lastRowLastColumn="0"/>
              <w:rPr>
                <w:lang w:val="cs-CZ"/>
              </w:rPr>
            </w:pPr>
            <w:r>
              <w:rPr>
                <w:lang w:val="cs-CZ"/>
              </w:rPr>
              <w:t xml:space="preserve">Auditor, který prováděl monitoring dle ISQM 1, není a nebude subjektem kontroly kvality. Odpovědnost za provedený monitoring má monitorovaná auditorská praxe. </w:t>
            </w:r>
          </w:p>
        </w:tc>
      </w:tr>
      <w:tr w:rsidR="00B670AF" w:rsidRPr="00B7753B" w14:paraId="6DAEE0AF" w14:textId="77777777" w:rsidTr="00CC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4DC1F47" w14:textId="77777777" w:rsidR="00B670AF" w:rsidRPr="007F6C1C" w:rsidRDefault="00B670AF" w:rsidP="00F16BEC">
            <w:pPr>
              <w:pStyle w:val="Odstavecseseznamem"/>
              <w:numPr>
                <w:ilvl w:val="0"/>
                <w:numId w:val="1"/>
              </w:numPr>
              <w:ind w:left="432"/>
              <w:jc w:val="both"/>
              <w:rPr>
                <w:b w:val="0"/>
                <w:bCs w:val="0"/>
                <w:lang w:val="cs-CZ"/>
              </w:rPr>
            </w:pPr>
            <w:r>
              <w:rPr>
                <w:lang w:val="cs-CZ"/>
              </w:rPr>
              <w:t>Pokud má auditorská společnost dva pracovníky, a to auditora a asistenta, je možné, aby monitoring provedl asistent s praxí, který je pravidelně školen?</w:t>
            </w:r>
          </w:p>
        </w:tc>
        <w:tc>
          <w:tcPr>
            <w:tcW w:w="3960" w:type="dxa"/>
          </w:tcPr>
          <w:p w14:paraId="5BA896D2" w14:textId="016F1522" w:rsidR="00B670AF" w:rsidRPr="007F6C1C"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Rozhodnutí o tom, zda provést monitoring „interně“ nebo „externě“ je vždy na dané auditorské praxi, která musí toto své rozhodnutí zdokumentovat a zaznamenat argumenty, které k rozhodnutí vedly. Nicméně v tomto konkrétním případě je zřejmé, že tento asistent nemůže monitoring provést, protože s vysokou pravděpodobností nebude dostatečně kvalifikován a nebude také nestranný a objektivní. Krom toho existuje rizik</w:t>
            </w:r>
            <w:r w:rsidR="00ED71DF">
              <w:rPr>
                <w:lang w:val="cs-CZ"/>
              </w:rPr>
              <w:t>o</w:t>
            </w:r>
            <w:r>
              <w:rPr>
                <w:lang w:val="cs-CZ"/>
              </w:rPr>
              <w:t xml:space="preserve">, že řadu auditorských činností prováděl sám, a tudíž by prováděl kontrolu po sobě samém. </w:t>
            </w:r>
          </w:p>
        </w:tc>
      </w:tr>
      <w:tr w:rsidR="00B670AF" w:rsidRPr="00B7753B" w14:paraId="5589D714" w14:textId="77777777" w:rsidTr="00CC21CD">
        <w:tc>
          <w:tcPr>
            <w:cnfStyle w:val="001000000000" w:firstRow="0" w:lastRow="0" w:firstColumn="1" w:lastColumn="0" w:oddVBand="0" w:evenVBand="0" w:oddHBand="0" w:evenHBand="0" w:firstRowFirstColumn="0" w:firstRowLastColumn="0" w:lastRowFirstColumn="0" w:lastRowLastColumn="0"/>
            <w:tcW w:w="5400" w:type="dxa"/>
          </w:tcPr>
          <w:p w14:paraId="2426BDB3" w14:textId="77777777" w:rsidR="00B670AF" w:rsidRPr="007F6C1C" w:rsidRDefault="00B670AF" w:rsidP="00F16BEC">
            <w:pPr>
              <w:pStyle w:val="Odstavecseseznamem"/>
              <w:numPr>
                <w:ilvl w:val="0"/>
                <w:numId w:val="1"/>
              </w:numPr>
              <w:ind w:left="432"/>
              <w:jc w:val="both"/>
              <w:rPr>
                <w:b w:val="0"/>
                <w:bCs w:val="0"/>
                <w:lang w:val="cs-CZ"/>
              </w:rPr>
            </w:pPr>
            <w:r>
              <w:rPr>
                <w:lang w:val="cs-CZ"/>
              </w:rPr>
              <w:t>Může provést monitoring manžel advokát?</w:t>
            </w:r>
          </w:p>
        </w:tc>
        <w:tc>
          <w:tcPr>
            <w:tcW w:w="3960" w:type="dxa"/>
          </w:tcPr>
          <w:p w14:paraId="7D4830EC" w14:textId="77777777" w:rsidR="00B670AF" w:rsidRPr="007F6C1C" w:rsidRDefault="00B670AF" w:rsidP="00F16BEC">
            <w:pPr>
              <w:jc w:val="both"/>
              <w:cnfStyle w:val="000000000000" w:firstRow="0" w:lastRow="0" w:firstColumn="0" w:lastColumn="0" w:oddVBand="0" w:evenVBand="0" w:oddHBand="0" w:evenHBand="0" w:firstRowFirstColumn="0" w:firstRowLastColumn="0" w:lastRowFirstColumn="0" w:lastRowLastColumn="0"/>
              <w:rPr>
                <w:lang w:val="cs-CZ"/>
              </w:rPr>
            </w:pPr>
            <w:r>
              <w:rPr>
                <w:lang w:val="cs-CZ"/>
              </w:rPr>
              <w:t xml:space="preserve">Nemůže, protože nesplňuje požadavky standardu ISQM 1, mimo jiné požadavek nezávislosti. </w:t>
            </w:r>
          </w:p>
        </w:tc>
      </w:tr>
      <w:tr w:rsidR="00B670AF" w:rsidRPr="00B7753B" w14:paraId="15ADF2A6" w14:textId="77777777" w:rsidTr="00CC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0522A788" w14:textId="77777777" w:rsidR="00B670AF" w:rsidRPr="00EC23D0" w:rsidRDefault="00B670AF" w:rsidP="00F16BEC">
            <w:pPr>
              <w:pStyle w:val="Odstavecseseznamem"/>
              <w:numPr>
                <w:ilvl w:val="0"/>
                <w:numId w:val="1"/>
              </w:numPr>
              <w:ind w:left="432"/>
              <w:jc w:val="both"/>
              <w:rPr>
                <w:b w:val="0"/>
                <w:bCs w:val="0"/>
                <w:lang w:val="cs-CZ"/>
              </w:rPr>
            </w:pPr>
            <w:r>
              <w:rPr>
                <w:lang w:val="cs-CZ"/>
              </w:rPr>
              <w:t>V případě společnosti o jednom auditorovi a dvou manažerech a dalších asistentech, mohou manažeři provádět monitoring navzájem?</w:t>
            </w:r>
          </w:p>
        </w:tc>
        <w:tc>
          <w:tcPr>
            <w:tcW w:w="3960" w:type="dxa"/>
          </w:tcPr>
          <w:p w14:paraId="1D81BFF6" w14:textId="1D8A5EAB" w:rsidR="00B670AF" w:rsidRPr="009C3056"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Opět je třeba uvést, že neexistuje jednoznačný vzorec, od kolika pracovníků auditorské praxe je třeba zajistit externí monitoring. Nicméně při uvážení toho, že </w:t>
            </w:r>
            <w:r w:rsidRPr="009C3056">
              <w:rPr>
                <w:lang w:val="cs-CZ"/>
              </w:rPr>
              <w:t>p</w:t>
            </w:r>
            <w:r>
              <w:rPr>
                <w:lang w:val="cs-CZ"/>
              </w:rPr>
              <w:t>ředmětem monitoringu je ověření funkčnosti vnitřního systému kvality auditorské praxe, je obtížně představitelné, že by manažeři takto definované auditorské praxe splňovali předpoklady pro monitoring dle ISQM 1, tedy především nestrannost, zabránění kontroly po sobě samém atd</w:t>
            </w:r>
            <w:r w:rsidR="00ED71DF">
              <w:rPr>
                <w:lang w:val="cs-CZ"/>
              </w:rPr>
              <w:t>.</w:t>
            </w:r>
            <w:r>
              <w:rPr>
                <w:lang w:val="cs-CZ"/>
              </w:rPr>
              <w:t xml:space="preserve"> (viz A155 standardu ISQM1)</w:t>
            </w:r>
          </w:p>
        </w:tc>
      </w:tr>
      <w:tr w:rsidR="00B670AF" w:rsidRPr="006F726E" w14:paraId="3E790281" w14:textId="77777777" w:rsidTr="00CC21CD">
        <w:tc>
          <w:tcPr>
            <w:cnfStyle w:val="001000000000" w:firstRow="0" w:lastRow="0" w:firstColumn="1" w:lastColumn="0" w:oddVBand="0" w:evenVBand="0" w:oddHBand="0" w:evenHBand="0" w:firstRowFirstColumn="0" w:firstRowLastColumn="0" w:lastRowFirstColumn="0" w:lastRowLastColumn="0"/>
            <w:tcW w:w="5400" w:type="dxa"/>
          </w:tcPr>
          <w:p w14:paraId="3DDB55DE" w14:textId="77777777" w:rsidR="00B670AF" w:rsidRPr="006F726E" w:rsidRDefault="00B670AF" w:rsidP="00F16BEC">
            <w:pPr>
              <w:pStyle w:val="Odstavecseseznamem"/>
              <w:numPr>
                <w:ilvl w:val="0"/>
                <w:numId w:val="1"/>
              </w:numPr>
              <w:ind w:left="432"/>
              <w:jc w:val="both"/>
              <w:rPr>
                <w:b w:val="0"/>
                <w:bCs w:val="0"/>
                <w:lang w:val="cs-CZ"/>
              </w:rPr>
            </w:pPr>
            <w:r>
              <w:rPr>
                <w:lang w:val="cs-CZ"/>
              </w:rPr>
              <w:t>Existuje seznam firem, které provádí monitoring na zakázku?</w:t>
            </w:r>
          </w:p>
        </w:tc>
        <w:tc>
          <w:tcPr>
            <w:tcW w:w="3960" w:type="dxa"/>
          </w:tcPr>
          <w:p w14:paraId="227A075B" w14:textId="77777777" w:rsidR="00B670AF" w:rsidRPr="006F726E" w:rsidRDefault="00B670AF" w:rsidP="00F16BEC">
            <w:pPr>
              <w:jc w:val="both"/>
              <w:cnfStyle w:val="000000000000" w:firstRow="0" w:lastRow="0" w:firstColumn="0" w:lastColumn="0" w:oddVBand="0" w:evenVBand="0" w:oddHBand="0" w:evenHBand="0" w:firstRowFirstColumn="0" w:firstRowLastColumn="0" w:lastRowFirstColumn="0" w:lastRowLastColumn="0"/>
              <w:rPr>
                <w:lang w:val="cs-CZ"/>
              </w:rPr>
            </w:pPr>
            <w:r>
              <w:rPr>
                <w:lang w:val="cs-CZ"/>
              </w:rPr>
              <w:t xml:space="preserve">Ne, neexistuje. </w:t>
            </w:r>
          </w:p>
        </w:tc>
      </w:tr>
      <w:tr w:rsidR="00B670AF" w:rsidRPr="00B7753B" w14:paraId="75D4B8E7" w14:textId="77777777" w:rsidTr="00CC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C7CC656" w14:textId="77777777" w:rsidR="00B670AF" w:rsidRPr="006F726E" w:rsidRDefault="00B670AF" w:rsidP="00F16BEC">
            <w:pPr>
              <w:pStyle w:val="Odstavecseseznamem"/>
              <w:numPr>
                <w:ilvl w:val="0"/>
                <w:numId w:val="1"/>
              </w:numPr>
              <w:ind w:left="432"/>
              <w:jc w:val="both"/>
              <w:rPr>
                <w:b w:val="0"/>
                <w:bCs w:val="0"/>
                <w:lang w:val="cs-CZ"/>
              </w:rPr>
            </w:pPr>
            <w:r>
              <w:rPr>
                <w:lang w:val="cs-CZ"/>
              </w:rPr>
              <w:t>Rozuměla jsem správně, že i bývalý auditor, který se vyškolí v ISQM 1, může poskytovat externí monitoring?</w:t>
            </w:r>
          </w:p>
        </w:tc>
        <w:tc>
          <w:tcPr>
            <w:tcW w:w="3960" w:type="dxa"/>
          </w:tcPr>
          <w:p w14:paraId="79D1847D" w14:textId="77777777" w:rsidR="00B670AF" w:rsidRPr="006F726E"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Může, pokud naplní požadavky dle ISQM 1 a těmi jsou mimo jiné i odborné předpoklady. Z toho vyplývá, že by to například neměl být bývalý auditor, který přišel o auditorské oprávnění v důsledku kárného opatření nebo kterému byl zakázán výkon auditorské činnosti rozhodnutím Komory. Domníváme se, že takovou osobu není možné považovat za </w:t>
            </w:r>
            <w:r>
              <w:rPr>
                <w:lang w:val="cs-CZ"/>
              </w:rPr>
              <w:lastRenderedPageBreak/>
              <w:t xml:space="preserve">osobu s náležitými odbornými předpoklady. </w:t>
            </w:r>
          </w:p>
        </w:tc>
      </w:tr>
      <w:tr w:rsidR="00B670AF" w:rsidRPr="00B7753B" w14:paraId="6CE1ECC5" w14:textId="77777777" w:rsidTr="00CC21CD">
        <w:tc>
          <w:tcPr>
            <w:cnfStyle w:val="001000000000" w:firstRow="0" w:lastRow="0" w:firstColumn="1" w:lastColumn="0" w:oddVBand="0" w:evenVBand="0" w:oddHBand="0" w:evenHBand="0" w:firstRowFirstColumn="0" w:firstRowLastColumn="0" w:lastRowFirstColumn="0" w:lastRowLastColumn="0"/>
            <w:tcW w:w="5400" w:type="dxa"/>
          </w:tcPr>
          <w:p w14:paraId="3C5CF49D" w14:textId="24046B0F" w:rsidR="00B670AF" w:rsidRPr="00234347" w:rsidRDefault="00B670AF" w:rsidP="00F16BEC">
            <w:pPr>
              <w:pStyle w:val="Odstavecseseznamem"/>
              <w:numPr>
                <w:ilvl w:val="0"/>
                <w:numId w:val="1"/>
              </w:numPr>
              <w:ind w:left="432"/>
              <w:jc w:val="both"/>
              <w:rPr>
                <w:b w:val="0"/>
                <w:bCs w:val="0"/>
                <w:lang w:val="cs-CZ"/>
              </w:rPr>
            </w:pPr>
            <w:r>
              <w:rPr>
                <w:lang w:val="cs-CZ"/>
              </w:rPr>
              <w:lastRenderedPageBreak/>
              <w:t>Kdo stanoví vzorek kontrolovaných spisů? Auditor nebo kontrolor?</w:t>
            </w:r>
            <w:r w:rsidR="008F622A">
              <w:rPr>
                <w:lang w:val="cs-CZ"/>
              </w:rPr>
              <w:t xml:space="preserve"> </w:t>
            </w:r>
          </w:p>
        </w:tc>
        <w:tc>
          <w:tcPr>
            <w:tcW w:w="3960" w:type="dxa"/>
          </w:tcPr>
          <w:p w14:paraId="5520F849" w14:textId="074BFF69" w:rsidR="00B670AF" w:rsidRPr="00234347" w:rsidRDefault="00B670AF" w:rsidP="00F16BEC">
            <w:pPr>
              <w:jc w:val="both"/>
              <w:cnfStyle w:val="000000000000" w:firstRow="0" w:lastRow="0" w:firstColumn="0" w:lastColumn="0" w:oddVBand="0" w:evenVBand="0" w:oddHBand="0" w:evenHBand="0" w:firstRowFirstColumn="0" w:firstRowLastColumn="0" w:lastRowFirstColumn="0" w:lastRowLastColumn="0"/>
              <w:rPr>
                <w:lang w:val="cs-CZ"/>
              </w:rPr>
            </w:pPr>
            <w:r w:rsidRPr="00214B59">
              <w:rPr>
                <w:lang w:val="cs-CZ"/>
              </w:rPr>
              <w:t xml:space="preserve">Z dotazu je možné se dohadovat, že hovoříte o inspekci dokončených zakázek, kterou je třeba v rámci monitoringu provést. </w:t>
            </w:r>
            <w:r w:rsidR="008507D5" w:rsidRPr="00214B59">
              <w:rPr>
                <w:lang w:val="cs-CZ"/>
              </w:rPr>
              <w:t xml:space="preserve">Počet kontrolovaných spisů by si měla určit auditorská praxe. </w:t>
            </w:r>
            <w:r w:rsidRPr="00214B59">
              <w:rPr>
                <w:lang w:val="cs-CZ"/>
              </w:rPr>
              <w:t xml:space="preserve">Výběr </w:t>
            </w:r>
            <w:r w:rsidR="008507D5" w:rsidRPr="00214B59">
              <w:rPr>
                <w:lang w:val="cs-CZ"/>
              </w:rPr>
              <w:t xml:space="preserve">konkrétních </w:t>
            </w:r>
            <w:r w:rsidRPr="00214B59">
              <w:rPr>
                <w:lang w:val="cs-CZ"/>
              </w:rPr>
              <w:t xml:space="preserve">spisů k inspekci dokončených zakázek by měla provést </w:t>
            </w:r>
            <w:r w:rsidR="00D22920" w:rsidRPr="00214B59">
              <w:rPr>
                <w:lang w:val="cs-CZ"/>
              </w:rPr>
              <w:t xml:space="preserve">osoba provádějící monitoring. </w:t>
            </w:r>
            <w:r w:rsidR="002A0887" w:rsidRPr="00214B59">
              <w:rPr>
                <w:lang w:val="cs-CZ"/>
              </w:rPr>
              <w:t xml:space="preserve"> </w:t>
            </w:r>
            <w:r w:rsidR="00D22920" w:rsidRPr="00214B59">
              <w:rPr>
                <w:lang w:val="cs-CZ"/>
              </w:rPr>
              <w:t>R</w:t>
            </w:r>
            <w:r w:rsidR="002A0887" w:rsidRPr="00214B59">
              <w:rPr>
                <w:lang w:val="cs-CZ"/>
              </w:rPr>
              <w:t xml:space="preserve">ozsah inspekce by měl být takový,  </w:t>
            </w:r>
            <w:r w:rsidRPr="00214B59">
              <w:rPr>
                <w:lang w:val="cs-CZ"/>
              </w:rPr>
              <w:t xml:space="preserve"> aby bylo možné zjistit, zda auditorské postupy a vnitřní kontrolní systém auditorské praxe, který byl monitorující osobě či osobám prezentován, je skutečně funkční. </w:t>
            </w:r>
          </w:p>
        </w:tc>
      </w:tr>
      <w:tr w:rsidR="00B670AF" w:rsidRPr="00B7753B" w14:paraId="07EC79FE" w14:textId="77777777" w:rsidTr="00CC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262CB1FD" w14:textId="77777777" w:rsidR="00B670AF" w:rsidRPr="00234347" w:rsidRDefault="00B670AF" w:rsidP="00F16BEC">
            <w:pPr>
              <w:pStyle w:val="Odstavecseseznamem"/>
              <w:numPr>
                <w:ilvl w:val="0"/>
                <w:numId w:val="1"/>
              </w:numPr>
              <w:ind w:left="432"/>
              <w:jc w:val="both"/>
              <w:rPr>
                <w:b w:val="0"/>
                <w:bCs w:val="0"/>
                <w:lang w:val="cs-CZ"/>
              </w:rPr>
            </w:pPr>
            <w:r>
              <w:rPr>
                <w:lang w:val="cs-CZ"/>
              </w:rPr>
              <w:t>Je prosím možné, aby v auditorské společnosti, kde jsou dva auditoři, jeden z auditorů prováděl kontrolu kvality dle ISQM 2?</w:t>
            </w:r>
          </w:p>
        </w:tc>
        <w:tc>
          <w:tcPr>
            <w:tcW w:w="3960" w:type="dxa"/>
          </w:tcPr>
          <w:p w14:paraId="1BB4F374" w14:textId="605E8B21" w:rsidR="00B670AF" w:rsidRPr="00234347"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V principu to možné je, pokud naplní požadavky standardu, zejména článků 17 až 21 ISQM 2</w:t>
            </w:r>
            <w:r w:rsidR="00ED71DF">
              <w:rPr>
                <w:lang w:val="cs-CZ"/>
              </w:rPr>
              <w:t>.</w:t>
            </w:r>
          </w:p>
        </w:tc>
      </w:tr>
      <w:tr w:rsidR="00B670AF" w:rsidRPr="00B7753B" w14:paraId="0A994657" w14:textId="77777777" w:rsidTr="00CC21CD">
        <w:tc>
          <w:tcPr>
            <w:cnfStyle w:val="001000000000" w:firstRow="0" w:lastRow="0" w:firstColumn="1" w:lastColumn="0" w:oddVBand="0" w:evenVBand="0" w:oddHBand="0" w:evenHBand="0" w:firstRowFirstColumn="0" w:firstRowLastColumn="0" w:lastRowFirstColumn="0" w:lastRowLastColumn="0"/>
            <w:tcW w:w="5400" w:type="dxa"/>
          </w:tcPr>
          <w:p w14:paraId="1A7E1012" w14:textId="77777777" w:rsidR="00B670AF" w:rsidRPr="00234347" w:rsidRDefault="00B670AF" w:rsidP="00F16BEC">
            <w:pPr>
              <w:pStyle w:val="Odstavecseseznamem"/>
              <w:numPr>
                <w:ilvl w:val="0"/>
                <w:numId w:val="1"/>
              </w:numPr>
              <w:ind w:left="432"/>
              <w:jc w:val="both"/>
              <w:rPr>
                <w:b w:val="0"/>
                <w:bCs w:val="0"/>
                <w:lang w:val="cs-CZ"/>
              </w:rPr>
            </w:pPr>
            <w:r>
              <w:rPr>
                <w:lang w:val="cs-CZ"/>
              </w:rPr>
              <w:t xml:space="preserve">Vzhledem k náročnosti monitoringu nebude jednoduché najít auditora inspektora. Neměla by KAČR vytvořit seznam auditorů ochotných a schopných monitoring provádět? </w:t>
            </w:r>
          </w:p>
        </w:tc>
        <w:tc>
          <w:tcPr>
            <w:tcW w:w="3960" w:type="dxa"/>
          </w:tcPr>
          <w:p w14:paraId="713B4A2B" w14:textId="568531F5" w:rsidR="00B670AF" w:rsidRPr="007539FB" w:rsidRDefault="00B670AF" w:rsidP="00F16BEC">
            <w:pPr>
              <w:jc w:val="both"/>
              <w:cnfStyle w:val="000000000000" w:firstRow="0" w:lastRow="0" w:firstColumn="0" w:lastColumn="0" w:oddVBand="0" w:evenVBand="0" w:oddHBand="0" w:evenHBand="0" w:firstRowFirstColumn="0" w:firstRowLastColumn="0" w:lastRowFirstColumn="0" w:lastRowLastColumn="0"/>
              <w:rPr>
                <w:highlight w:val="yellow"/>
                <w:lang w:val="cs-CZ"/>
              </w:rPr>
            </w:pPr>
            <w:r>
              <w:rPr>
                <w:lang w:val="cs-CZ"/>
              </w:rPr>
              <w:t>Komora auditorů nechystá žádný seznam subjektů, kte</w:t>
            </w:r>
            <w:r w:rsidR="00ED71DF">
              <w:rPr>
                <w:lang w:val="cs-CZ"/>
              </w:rPr>
              <w:t>ré</w:t>
            </w:r>
            <w:r>
              <w:rPr>
                <w:lang w:val="cs-CZ"/>
              </w:rPr>
              <w:t xml:space="preserve"> by byl</w:t>
            </w:r>
            <w:r w:rsidR="00ED71DF">
              <w:rPr>
                <w:lang w:val="cs-CZ"/>
              </w:rPr>
              <w:t>y</w:t>
            </w:r>
            <w:r>
              <w:rPr>
                <w:lang w:val="cs-CZ"/>
              </w:rPr>
              <w:t xml:space="preserve"> ochotny a schopny provádět externě monitoring ve smyslu ISQM 1. Důvodem je především to, že v takovém případě by Komora auditorů musela převzít odpovědnost za posouzení odborných předpokladů, schopností a dalších předpokladů daných standardem ISQM 1. Pro takové posouzení nemá Komora žádnou kapacitu. Toto posouzení je na monitorovaných subjektech – jednotlivých auditorských praxí</w:t>
            </w:r>
            <w:r w:rsidR="00ED71DF">
              <w:rPr>
                <w:lang w:val="cs-CZ"/>
              </w:rPr>
              <w:t>ch</w:t>
            </w:r>
            <w:r>
              <w:rPr>
                <w:lang w:val="cs-CZ"/>
              </w:rPr>
              <w:t xml:space="preserve">. </w:t>
            </w:r>
          </w:p>
        </w:tc>
      </w:tr>
      <w:tr w:rsidR="00B670AF" w:rsidRPr="00B7753B" w14:paraId="61E34DED" w14:textId="77777777" w:rsidTr="00CC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437AE56E" w14:textId="77777777" w:rsidR="00B670AF" w:rsidRPr="00234347" w:rsidRDefault="00B670AF" w:rsidP="00F16BEC">
            <w:pPr>
              <w:pStyle w:val="Odstavecseseznamem"/>
              <w:numPr>
                <w:ilvl w:val="0"/>
                <w:numId w:val="1"/>
              </w:numPr>
              <w:ind w:left="432"/>
              <w:jc w:val="both"/>
              <w:rPr>
                <w:b w:val="0"/>
                <w:bCs w:val="0"/>
                <w:lang w:val="cs-CZ"/>
              </w:rPr>
            </w:pPr>
            <w:r w:rsidRPr="008A2F86">
              <w:rPr>
                <w:rFonts w:cstheme="minorHAnsi"/>
                <w:lang w:val="cs-CZ"/>
              </w:rPr>
              <w:t xml:space="preserve">Chápu dobře, že v případě auditora OSVČ si na monitoring najmu nejlépe externího auditora. Externí auditor mi vyhodnotí můj systém řízení kvality, z této činnosti vyhotoví externí auditor zprávu, kde uvede svá zjištění a následně si já, jako auditor OSVČ a osoba s konečnou odpovědností za můj systém řízení kvality, na základě zjištění od externího auditora provedu moje vyhodnocení systému řízení kvality? </w:t>
            </w:r>
          </w:p>
        </w:tc>
        <w:tc>
          <w:tcPr>
            <w:tcW w:w="3960" w:type="dxa"/>
          </w:tcPr>
          <w:p w14:paraId="5CC08CB8" w14:textId="77777777" w:rsidR="00B670AF" w:rsidRPr="00234347"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Ano, chápete to velmi dobře. </w:t>
            </w:r>
          </w:p>
        </w:tc>
      </w:tr>
      <w:tr w:rsidR="00B670AF" w:rsidRPr="00B7753B" w14:paraId="227BF267" w14:textId="77777777" w:rsidTr="00CC21CD">
        <w:tc>
          <w:tcPr>
            <w:cnfStyle w:val="001000000000" w:firstRow="0" w:lastRow="0" w:firstColumn="1" w:lastColumn="0" w:oddVBand="0" w:evenVBand="0" w:oddHBand="0" w:evenHBand="0" w:firstRowFirstColumn="0" w:firstRowLastColumn="0" w:lastRowFirstColumn="0" w:lastRowLastColumn="0"/>
            <w:tcW w:w="5400" w:type="dxa"/>
          </w:tcPr>
          <w:p w14:paraId="4AC3C59F" w14:textId="77777777" w:rsidR="00B670AF" w:rsidRPr="004C3B2F" w:rsidRDefault="00B670AF" w:rsidP="00F16BEC">
            <w:pPr>
              <w:pStyle w:val="Normlnweb"/>
              <w:numPr>
                <w:ilvl w:val="0"/>
                <w:numId w:val="1"/>
              </w:numPr>
              <w:ind w:left="432"/>
              <w:jc w:val="both"/>
              <w:rPr>
                <w:rFonts w:asciiTheme="minorHAnsi" w:hAnsiTheme="minorHAnsi" w:cstheme="minorHAnsi"/>
                <w:b w:val="0"/>
                <w:bCs w:val="0"/>
                <w:sz w:val="22"/>
                <w:szCs w:val="22"/>
              </w:rPr>
            </w:pPr>
            <w:r w:rsidRPr="004C3B2F">
              <w:rPr>
                <w:rFonts w:asciiTheme="minorHAnsi" w:hAnsiTheme="minorHAnsi" w:cstheme="minorHAnsi"/>
                <w:sz w:val="22"/>
                <w:szCs w:val="22"/>
              </w:rPr>
              <w:t>Může bývalý auditor vyškolený v ISQM 1 dělat externistu?  Můžete ještě jednou vysvětlit, proč?</w:t>
            </w:r>
          </w:p>
        </w:tc>
        <w:tc>
          <w:tcPr>
            <w:tcW w:w="3960" w:type="dxa"/>
          </w:tcPr>
          <w:p w14:paraId="53814D36" w14:textId="6C46BB7B" w:rsidR="00B670AF" w:rsidRPr="002D521A" w:rsidRDefault="00B670AF" w:rsidP="00F16BEC">
            <w:pPr>
              <w:jc w:val="both"/>
              <w:cnfStyle w:val="000000000000" w:firstRow="0" w:lastRow="0" w:firstColumn="0" w:lastColumn="0" w:oddVBand="0" w:evenVBand="0" w:oddHBand="0" w:evenHBand="0" w:firstRowFirstColumn="0" w:firstRowLastColumn="0" w:lastRowFirstColumn="0" w:lastRowLastColumn="0"/>
              <w:rPr>
                <w:lang w:val="cs-CZ"/>
              </w:rPr>
            </w:pPr>
            <w:r w:rsidRPr="002D521A">
              <w:rPr>
                <w:lang w:val="cs-CZ"/>
              </w:rPr>
              <w:t xml:space="preserve">Pokud bude tento bývalý auditor splňovat požadavky standardu ISQM 1 na osoby provádějící monitorovací činnost, tak samozřejmě může. Znovu je však třeba zdůraznit náležité odborné předpoklady, schopnosti, dostatek času, objektivitu a další předpoklady. Komora zveřejní </w:t>
            </w:r>
            <w:r w:rsidR="00D76FD4">
              <w:rPr>
                <w:lang w:val="cs-CZ"/>
              </w:rPr>
              <w:lastRenderedPageBreak/>
              <w:t>Krit</w:t>
            </w:r>
            <w:r w:rsidRPr="002D521A">
              <w:rPr>
                <w:lang w:val="cs-CZ"/>
              </w:rPr>
              <w:t>éria pro osoby provádějící monitorovací činnosti dle ISQM 1.</w:t>
            </w:r>
          </w:p>
        </w:tc>
      </w:tr>
      <w:tr w:rsidR="00B670AF" w:rsidRPr="00B7753B" w14:paraId="30F5645D" w14:textId="77777777" w:rsidTr="00CC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5A6D674D" w14:textId="77777777" w:rsidR="00B670AF" w:rsidRPr="00BA2B17" w:rsidRDefault="00B670AF" w:rsidP="00F16BEC">
            <w:pPr>
              <w:pStyle w:val="Odstavecseseznamem"/>
              <w:numPr>
                <w:ilvl w:val="0"/>
                <w:numId w:val="1"/>
              </w:numPr>
              <w:ind w:left="432"/>
              <w:jc w:val="both"/>
              <w:rPr>
                <w:b w:val="0"/>
                <w:bCs w:val="0"/>
                <w:lang w:val="cs-CZ"/>
              </w:rPr>
            </w:pPr>
            <w:r>
              <w:rPr>
                <w:lang w:val="cs-CZ"/>
              </w:rPr>
              <w:lastRenderedPageBreak/>
              <w:t xml:space="preserve">Pokud by mohl monitoring provést bývalý auditor, který již není zapsán v seznamu auditorů, jak doložit, že je školený na ISQM 1? </w:t>
            </w:r>
          </w:p>
        </w:tc>
        <w:tc>
          <w:tcPr>
            <w:tcW w:w="3960" w:type="dxa"/>
          </w:tcPr>
          <w:p w14:paraId="3220D76E" w14:textId="2BB3691B" w:rsidR="00B670AF" w:rsidRPr="00BA2B17"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Posouzení toho, zda osoba provádějící monitorovací činnost má náležité odborné předpoklady, je na monitorované auditorské praxi. Osoba či osoby provádějící externí monitoring by však mohly </w:t>
            </w:r>
            <w:r w:rsidR="00CE3B70">
              <w:rPr>
                <w:lang w:val="cs-CZ"/>
              </w:rPr>
              <w:t>například v</w:t>
            </w:r>
            <w:r>
              <w:rPr>
                <w:lang w:val="cs-CZ"/>
              </w:rPr>
              <w:t> uzavřené smlouvě své odborné předpoklady</w:t>
            </w:r>
            <w:r w:rsidR="00ED71DF">
              <w:rPr>
                <w:lang w:val="cs-CZ"/>
              </w:rPr>
              <w:t>,</w:t>
            </w:r>
            <w:r>
              <w:rPr>
                <w:lang w:val="cs-CZ"/>
              </w:rPr>
              <w:t xml:space="preserve"> jakož i naplnění dalších požadavků na tyto osoby</w:t>
            </w:r>
            <w:r w:rsidR="00ED71DF">
              <w:rPr>
                <w:lang w:val="cs-CZ"/>
              </w:rPr>
              <w:t>,</w:t>
            </w:r>
            <w:r>
              <w:rPr>
                <w:lang w:val="cs-CZ"/>
              </w:rPr>
              <w:t xml:space="preserve"> deklarovat. </w:t>
            </w:r>
          </w:p>
        </w:tc>
      </w:tr>
      <w:tr w:rsidR="00B670AF" w:rsidRPr="00B7753B" w14:paraId="44EC39CF" w14:textId="77777777" w:rsidTr="00CC21CD">
        <w:tc>
          <w:tcPr>
            <w:cnfStyle w:val="001000000000" w:firstRow="0" w:lastRow="0" w:firstColumn="1" w:lastColumn="0" w:oddVBand="0" w:evenVBand="0" w:oddHBand="0" w:evenHBand="0" w:firstRowFirstColumn="0" w:firstRowLastColumn="0" w:lastRowFirstColumn="0" w:lastRowLastColumn="0"/>
            <w:tcW w:w="5400" w:type="dxa"/>
          </w:tcPr>
          <w:p w14:paraId="231BCCFC" w14:textId="09921A1E" w:rsidR="00B670AF" w:rsidRPr="00BA2B17" w:rsidRDefault="00B670AF" w:rsidP="00F16BEC">
            <w:pPr>
              <w:pStyle w:val="Odstavecseseznamem"/>
              <w:numPr>
                <w:ilvl w:val="0"/>
                <w:numId w:val="1"/>
              </w:numPr>
              <w:ind w:left="432"/>
              <w:jc w:val="both"/>
              <w:rPr>
                <w:b w:val="0"/>
                <w:bCs w:val="0"/>
                <w:lang w:val="cs-CZ"/>
              </w:rPr>
            </w:pPr>
            <w:r>
              <w:rPr>
                <w:lang w:val="cs-CZ"/>
              </w:rPr>
              <w:t>Je možné, aby jeden externista provedl monitorování dokončené zakázky, zatímco druhý externista provedl monitorování systému řízení kvality?</w:t>
            </w:r>
            <w:r w:rsidR="00803493">
              <w:rPr>
                <w:lang w:val="cs-CZ"/>
              </w:rPr>
              <w:t xml:space="preserve"> </w:t>
            </w:r>
          </w:p>
        </w:tc>
        <w:tc>
          <w:tcPr>
            <w:tcW w:w="3960" w:type="dxa"/>
          </w:tcPr>
          <w:p w14:paraId="7C9395F1" w14:textId="0C2FB231" w:rsidR="00B670AF" w:rsidRPr="00BA2B17" w:rsidRDefault="00402251" w:rsidP="006F6A8E">
            <w:pPr>
              <w:jc w:val="both"/>
              <w:cnfStyle w:val="000000000000" w:firstRow="0" w:lastRow="0" w:firstColumn="0" w:lastColumn="0" w:oddVBand="0" w:evenVBand="0" w:oddHBand="0" w:evenHBand="0" w:firstRowFirstColumn="0" w:firstRowLastColumn="0" w:lastRowFirstColumn="0" w:lastRowLastColumn="0"/>
              <w:rPr>
                <w:lang w:val="cs-CZ"/>
              </w:rPr>
            </w:pPr>
            <w:r w:rsidRPr="008B78A2">
              <w:rPr>
                <w:lang w:val="cs-CZ"/>
              </w:rPr>
              <w:t>Možné to je</w:t>
            </w:r>
            <w:r w:rsidR="004E454D" w:rsidRPr="008B78A2">
              <w:rPr>
                <w:lang w:val="cs-CZ"/>
              </w:rPr>
              <w:t>.</w:t>
            </w:r>
            <w:r w:rsidR="00DE0137" w:rsidRPr="008B78A2">
              <w:rPr>
                <w:lang w:val="cs-CZ"/>
              </w:rPr>
              <w:t xml:space="preserve"> </w:t>
            </w:r>
            <w:r w:rsidR="0013292D" w:rsidRPr="008B78A2">
              <w:rPr>
                <w:lang w:val="cs-CZ"/>
              </w:rPr>
              <w:t>Je však ke zvážení, zda je toto efektivní řešení, protože inspekce zakázek je součástí monitoringu a pokud to dělá jiná osoba, pak j</w:t>
            </w:r>
            <w:r w:rsidR="004E454D" w:rsidRPr="008B78A2">
              <w:rPr>
                <w:lang w:val="cs-CZ"/>
              </w:rPr>
              <w:t xml:space="preserve">e nezbytná jejich velmi úzká spolupráce. </w:t>
            </w:r>
          </w:p>
        </w:tc>
      </w:tr>
      <w:tr w:rsidR="00BE1185" w:rsidRPr="00B7753B" w14:paraId="26AFD792" w14:textId="77777777" w:rsidTr="00CC2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4DDDBEA5" w14:textId="65F3A6C8" w:rsidR="00BE1185" w:rsidRPr="00BE1185" w:rsidRDefault="00BE1185" w:rsidP="00D05BA0">
            <w:pPr>
              <w:pStyle w:val="Odstavecseseznamem"/>
              <w:numPr>
                <w:ilvl w:val="0"/>
                <w:numId w:val="1"/>
              </w:numPr>
              <w:ind w:left="432"/>
              <w:jc w:val="both"/>
              <w:rPr>
                <w:b w:val="0"/>
                <w:bCs w:val="0"/>
                <w:lang w:val="cs-CZ"/>
              </w:rPr>
            </w:pPr>
            <w:r w:rsidRPr="00BE1185">
              <w:rPr>
                <w:lang w:val="cs-CZ"/>
              </w:rPr>
              <w:t>Jak „legálně“ řešit přístup ke spisu auditora v případě externího monitoringu</w:t>
            </w:r>
            <w:r w:rsidRPr="00BE1185">
              <w:rPr>
                <w:b w:val="0"/>
                <w:bCs w:val="0"/>
                <w:lang w:val="cs-CZ"/>
              </w:rPr>
              <w:t xml:space="preserve">? </w:t>
            </w:r>
          </w:p>
        </w:tc>
        <w:tc>
          <w:tcPr>
            <w:tcW w:w="3960" w:type="dxa"/>
          </w:tcPr>
          <w:p w14:paraId="4EE79E47" w14:textId="17BDE969" w:rsidR="00BE1185" w:rsidRPr="009E47A0" w:rsidRDefault="00BE1185" w:rsidP="006F6A8E">
            <w:pPr>
              <w:jc w:val="both"/>
              <w:cnfStyle w:val="000000100000" w:firstRow="0" w:lastRow="0" w:firstColumn="0" w:lastColumn="0" w:oddVBand="0" w:evenVBand="0" w:oddHBand="1" w:evenHBand="0" w:firstRowFirstColumn="0" w:firstRowLastColumn="0" w:lastRowFirstColumn="0" w:lastRowLastColumn="0"/>
              <w:rPr>
                <w:color w:val="FF0000"/>
                <w:lang w:val="cs-CZ"/>
              </w:rPr>
            </w:pPr>
            <w:r w:rsidRPr="00D05BA0">
              <w:rPr>
                <w:lang w:val="cs-CZ"/>
              </w:rPr>
              <w:t xml:space="preserve">V případě externího monitoringu je třeba přístup řešit s ohledem na </w:t>
            </w:r>
            <w:r w:rsidR="00ED71DF">
              <w:rPr>
                <w:lang w:val="cs-CZ"/>
              </w:rPr>
              <w:t>z</w:t>
            </w:r>
            <w:r w:rsidRPr="00D05BA0">
              <w:rPr>
                <w:lang w:val="cs-CZ"/>
              </w:rPr>
              <w:t xml:space="preserve">ákon o </w:t>
            </w:r>
            <w:r w:rsidR="0071734B" w:rsidRPr="00D05BA0">
              <w:rPr>
                <w:lang w:val="cs-CZ"/>
              </w:rPr>
              <w:t>auditorech, a to s odkazem na § 15, odst</w:t>
            </w:r>
            <w:r w:rsidR="00ED71DF">
              <w:rPr>
                <w:lang w:val="cs-CZ"/>
              </w:rPr>
              <w:t>avec</w:t>
            </w:r>
            <w:r w:rsidR="0071734B" w:rsidRPr="00D05BA0">
              <w:rPr>
                <w:lang w:val="cs-CZ"/>
              </w:rPr>
              <w:t xml:space="preserve"> 1. Povinnost mlčenlivosti se vztahuje i na </w:t>
            </w:r>
            <w:r w:rsidR="0071734B" w:rsidRPr="00D05BA0">
              <w:rPr>
                <w:i/>
                <w:iCs/>
                <w:lang w:val="cs-CZ"/>
              </w:rPr>
              <w:t>„ostatní fyzické osoby, jejichž služeb auditor využívá v souvislosti s výkonem auditorské činnosti.“</w:t>
            </w:r>
            <w:r w:rsidRPr="009E47A0">
              <w:rPr>
                <w:color w:val="FF0000"/>
                <w:lang w:val="cs-CZ"/>
              </w:rPr>
              <w:t xml:space="preserve"> </w:t>
            </w:r>
          </w:p>
        </w:tc>
      </w:tr>
    </w:tbl>
    <w:p w14:paraId="668D669A" w14:textId="77777777" w:rsidR="005E08DF" w:rsidRDefault="005E08DF" w:rsidP="00FB73FA">
      <w:pPr>
        <w:jc w:val="both"/>
        <w:rPr>
          <w:lang w:val="cs-CZ"/>
        </w:rPr>
      </w:pPr>
    </w:p>
    <w:p w14:paraId="75C6615B" w14:textId="77777777" w:rsidR="005E08DF" w:rsidRDefault="005E08DF" w:rsidP="00FB73FA">
      <w:pPr>
        <w:jc w:val="both"/>
        <w:rPr>
          <w:lang w:val="cs-CZ"/>
        </w:rPr>
      </w:pPr>
    </w:p>
    <w:p w14:paraId="3127EC32" w14:textId="10BC5F89" w:rsidR="005E08DF" w:rsidRPr="00FC114A" w:rsidRDefault="005E08DF" w:rsidP="00FC114A">
      <w:pPr>
        <w:pStyle w:val="Nadpis2"/>
        <w:numPr>
          <w:ilvl w:val="0"/>
          <w:numId w:val="6"/>
        </w:numPr>
        <w:rPr>
          <w:b/>
          <w:bCs/>
          <w:u w:val="single"/>
          <w:lang w:val="cs-CZ"/>
        </w:rPr>
      </w:pPr>
      <w:r w:rsidRPr="00FC114A">
        <w:rPr>
          <w:b/>
          <w:bCs/>
          <w:u w:val="single"/>
          <w:lang w:val="cs-CZ"/>
        </w:rPr>
        <w:t xml:space="preserve">Dokumentace monitoringu </w:t>
      </w:r>
    </w:p>
    <w:p w14:paraId="47278668" w14:textId="77777777" w:rsidR="00B670AF" w:rsidRPr="00B670AF" w:rsidRDefault="00B670AF" w:rsidP="00B670AF">
      <w:pPr>
        <w:rPr>
          <w:lang w:val="cs-CZ"/>
        </w:rPr>
      </w:pPr>
    </w:p>
    <w:tbl>
      <w:tblPr>
        <w:tblStyle w:val="Tabulkasmkou4zvraznn1"/>
        <w:tblW w:w="9355" w:type="dxa"/>
        <w:tblLook w:val="04A0" w:firstRow="1" w:lastRow="0" w:firstColumn="1" w:lastColumn="0" w:noHBand="0" w:noVBand="1"/>
      </w:tblPr>
      <w:tblGrid>
        <w:gridCol w:w="5316"/>
        <w:gridCol w:w="4039"/>
      </w:tblGrid>
      <w:tr w:rsidR="00B670AF" w14:paraId="268704AD" w14:textId="77777777" w:rsidTr="00B67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37D6137B" w14:textId="77777777" w:rsidR="00B670AF" w:rsidRDefault="00B670AF" w:rsidP="00F16BEC">
            <w:pPr>
              <w:jc w:val="both"/>
              <w:rPr>
                <w:lang w:val="cs-CZ"/>
              </w:rPr>
            </w:pPr>
            <w:r>
              <w:rPr>
                <w:lang w:val="cs-CZ"/>
              </w:rPr>
              <w:t>Dotaz</w:t>
            </w:r>
          </w:p>
        </w:tc>
        <w:tc>
          <w:tcPr>
            <w:tcW w:w="4039" w:type="dxa"/>
          </w:tcPr>
          <w:p w14:paraId="2AB6166C" w14:textId="77777777" w:rsidR="00B670AF" w:rsidRDefault="00B670AF" w:rsidP="00F16BEC">
            <w:pPr>
              <w:jc w:val="both"/>
              <w:cnfStyle w:val="100000000000" w:firstRow="1" w:lastRow="0" w:firstColumn="0" w:lastColumn="0" w:oddVBand="0" w:evenVBand="0" w:oddHBand="0" w:evenHBand="0" w:firstRowFirstColumn="0" w:firstRowLastColumn="0" w:lastRowFirstColumn="0" w:lastRowLastColumn="0"/>
              <w:rPr>
                <w:lang w:val="cs-CZ"/>
              </w:rPr>
            </w:pPr>
            <w:r>
              <w:rPr>
                <w:lang w:val="cs-CZ"/>
              </w:rPr>
              <w:t>Odpověď</w:t>
            </w:r>
          </w:p>
        </w:tc>
      </w:tr>
      <w:tr w:rsidR="00B670AF" w:rsidRPr="00B7753B" w14:paraId="4CC2D9D6" w14:textId="77777777" w:rsidTr="00B67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0F2D8D21" w14:textId="77777777" w:rsidR="00B670AF" w:rsidRPr="007F6C1C" w:rsidRDefault="00B670AF" w:rsidP="00BE1185">
            <w:pPr>
              <w:pStyle w:val="Odstavecseseznamem"/>
              <w:numPr>
                <w:ilvl w:val="0"/>
                <w:numId w:val="7"/>
              </w:numPr>
              <w:ind w:left="432"/>
              <w:jc w:val="both"/>
              <w:rPr>
                <w:b w:val="0"/>
                <w:bCs w:val="0"/>
                <w:lang w:val="cs-CZ"/>
              </w:rPr>
            </w:pPr>
            <w:r>
              <w:rPr>
                <w:lang w:val="cs-CZ"/>
              </w:rPr>
              <w:t>Jak má vypadat záznam o provedení monitoringu?  Existuje nějaký vzor?</w:t>
            </w:r>
          </w:p>
        </w:tc>
        <w:tc>
          <w:tcPr>
            <w:tcW w:w="4039" w:type="dxa"/>
          </w:tcPr>
          <w:p w14:paraId="618BD6F8" w14:textId="6BB024E1" w:rsidR="00B670AF" w:rsidRPr="007F6C1C"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Žádný vzor záznamu neexistuje. Dokumentace o provedeném monitoringu vyhotovená osobou či osobami provádějící monitoring je jejich dokumentací. To samozřejmě platí i pro monitorovací činnost prováděnou interně.  Monitorovaná auditorská praxe by měla obdržet formální monitorovací zprávu nebo jiný obdobný záznam o provedených činnostech, neboť je povinností monitorované praxe dle článku 58(e) mít podklady</w:t>
            </w:r>
            <w:r w:rsidR="00ED71DF">
              <w:rPr>
                <w:lang w:val="cs-CZ"/>
              </w:rPr>
              <w:t>,</w:t>
            </w:r>
            <w:r>
              <w:rPr>
                <w:lang w:val="cs-CZ"/>
              </w:rPr>
              <w:t xml:space="preserve"> na jejichž základě učinila závěr, zdali </w:t>
            </w:r>
            <w:r w:rsidRPr="00E52B29">
              <w:rPr>
                <w:lang w:val="cs-CZ"/>
              </w:rPr>
              <w:t>systém řízení kvality poskytuje firmě přiměřenou jistotu, že jsou naplňovány jeho cíle</w:t>
            </w:r>
            <w:r>
              <w:rPr>
                <w:lang w:val="cs-CZ"/>
              </w:rPr>
              <w:t xml:space="preserve">. </w:t>
            </w:r>
          </w:p>
        </w:tc>
      </w:tr>
      <w:tr w:rsidR="00B670AF" w:rsidRPr="00CC21CD" w14:paraId="75A3ACC0" w14:textId="77777777" w:rsidTr="00FF082A">
        <w:trPr>
          <w:trHeight w:val="1266"/>
        </w:trPr>
        <w:tc>
          <w:tcPr>
            <w:cnfStyle w:val="001000000000" w:firstRow="0" w:lastRow="0" w:firstColumn="1" w:lastColumn="0" w:oddVBand="0" w:evenVBand="0" w:oddHBand="0" w:evenHBand="0" w:firstRowFirstColumn="0" w:firstRowLastColumn="0" w:lastRowFirstColumn="0" w:lastRowLastColumn="0"/>
            <w:tcW w:w="5316" w:type="dxa"/>
          </w:tcPr>
          <w:p w14:paraId="35876A9D" w14:textId="77777777" w:rsidR="00B670AF" w:rsidRPr="007F6C1C" w:rsidRDefault="00B670AF" w:rsidP="00BE1185">
            <w:pPr>
              <w:pStyle w:val="Odstavecseseznamem"/>
              <w:numPr>
                <w:ilvl w:val="0"/>
                <w:numId w:val="7"/>
              </w:numPr>
              <w:ind w:left="432"/>
              <w:jc w:val="both"/>
              <w:rPr>
                <w:b w:val="0"/>
                <w:bCs w:val="0"/>
                <w:lang w:val="cs-CZ"/>
              </w:rPr>
            </w:pPr>
            <w:r>
              <w:rPr>
                <w:lang w:val="cs-CZ"/>
              </w:rPr>
              <w:lastRenderedPageBreak/>
              <w:t>Pokud monitoring provádí jiný auditor, je nutná smlouva?  Existuje nějaký vzor?</w:t>
            </w:r>
          </w:p>
        </w:tc>
        <w:tc>
          <w:tcPr>
            <w:tcW w:w="4039" w:type="dxa"/>
          </w:tcPr>
          <w:p w14:paraId="2711EC51" w14:textId="46769D2C" w:rsidR="00B670AF" w:rsidRPr="007F6C1C" w:rsidRDefault="00B670AF" w:rsidP="00F16BEC">
            <w:pPr>
              <w:jc w:val="both"/>
              <w:cnfStyle w:val="000000000000" w:firstRow="0" w:lastRow="0" w:firstColumn="0" w:lastColumn="0" w:oddVBand="0" w:evenVBand="0" w:oddHBand="0" w:evenHBand="0" w:firstRowFirstColumn="0" w:firstRowLastColumn="0" w:lastRowFirstColumn="0" w:lastRowLastColumn="0"/>
              <w:rPr>
                <w:lang w:val="cs-CZ"/>
              </w:rPr>
            </w:pPr>
            <w:r>
              <w:rPr>
                <w:lang w:val="cs-CZ"/>
              </w:rPr>
              <w:t xml:space="preserve">Pokud monitoring provádí externí subjekt mimo auditorskou praxi, tak je velmi </w:t>
            </w:r>
            <w:r w:rsidR="00E0131B">
              <w:rPr>
                <w:lang w:val="cs-CZ"/>
              </w:rPr>
              <w:t>vhodná smlouva</w:t>
            </w:r>
            <w:r>
              <w:rPr>
                <w:lang w:val="cs-CZ"/>
              </w:rPr>
              <w:t xml:space="preserve">. </w:t>
            </w:r>
            <w:r w:rsidR="00CC21CD">
              <w:rPr>
                <w:lang w:val="cs-CZ"/>
              </w:rPr>
              <w:t xml:space="preserve">Kritéria </w:t>
            </w:r>
            <w:r>
              <w:rPr>
                <w:lang w:val="cs-CZ"/>
              </w:rPr>
              <w:t xml:space="preserve">a </w:t>
            </w:r>
            <w:r w:rsidR="00ED71DF">
              <w:rPr>
                <w:lang w:val="cs-CZ"/>
              </w:rPr>
              <w:t xml:space="preserve">ilustrativní </w:t>
            </w:r>
            <w:r>
              <w:rPr>
                <w:lang w:val="cs-CZ"/>
              </w:rPr>
              <w:t xml:space="preserve">články takovéto smlouvy budou zveřejněny. </w:t>
            </w:r>
          </w:p>
        </w:tc>
      </w:tr>
      <w:tr w:rsidR="00B670AF" w:rsidRPr="00B7753B" w14:paraId="5062D67B" w14:textId="77777777" w:rsidTr="00B67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30F5239A" w14:textId="77777777" w:rsidR="00B670AF" w:rsidRPr="007F6C1C" w:rsidRDefault="00B670AF" w:rsidP="00BE1185">
            <w:pPr>
              <w:pStyle w:val="Odstavecseseznamem"/>
              <w:numPr>
                <w:ilvl w:val="0"/>
                <w:numId w:val="7"/>
              </w:numPr>
              <w:ind w:left="432"/>
              <w:jc w:val="both"/>
              <w:rPr>
                <w:b w:val="0"/>
                <w:bCs w:val="0"/>
                <w:lang w:val="cs-CZ"/>
              </w:rPr>
            </w:pPr>
            <w:r>
              <w:rPr>
                <w:lang w:val="cs-CZ"/>
              </w:rPr>
              <w:t>Obsahuje standard postupy, které má osoba či osoby provádějící externí monitoring udělat a jak je má dokumentovat?</w:t>
            </w:r>
          </w:p>
        </w:tc>
        <w:tc>
          <w:tcPr>
            <w:tcW w:w="4039" w:type="dxa"/>
          </w:tcPr>
          <w:p w14:paraId="476387F0" w14:textId="3B7024FC" w:rsidR="00B670AF" w:rsidRPr="007F6C1C"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Standard popisuje požadavky na monitorovací a nápravný proces jako takový a nespecifikuje jakou část má provést externí či interní subjekt ani jak má dokumentace vypadat</w:t>
            </w:r>
            <w:r w:rsidR="00C20679">
              <w:rPr>
                <w:lang w:val="cs-CZ"/>
              </w:rPr>
              <w:t>.</w:t>
            </w:r>
            <w:r>
              <w:rPr>
                <w:lang w:val="cs-CZ"/>
              </w:rPr>
              <w:t xml:space="preserve"> </w:t>
            </w:r>
            <w:r w:rsidR="00F77560">
              <w:rPr>
                <w:lang w:val="cs-CZ"/>
              </w:rPr>
              <w:t>Postupy,</w:t>
            </w:r>
            <w:r>
              <w:rPr>
                <w:lang w:val="cs-CZ"/>
              </w:rPr>
              <w:t xml:space="preserve"> které jsou prováděny externím subjektem si stanoví monitorovaný subjekt dle jeho konkrétní situace sám v rámci nastavení monitorovacího a nápravného procesu.</w:t>
            </w:r>
          </w:p>
        </w:tc>
      </w:tr>
      <w:tr w:rsidR="00B670AF" w:rsidRPr="00B7753B" w14:paraId="420EF78B" w14:textId="77777777" w:rsidTr="00B670AF">
        <w:tc>
          <w:tcPr>
            <w:cnfStyle w:val="001000000000" w:firstRow="0" w:lastRow="0" w:firstColumn="1" w:lastColumn="0" w:oddVBand="0" w:evenVBand="0" w:oddHBand="0" w:evenHBand="0" w:firstRowFirstColumn="0" w:firstRowLastColumn="0" w:lastRowFirstColumn="0" w:lastRowLastColumn="0"/>
            <w:tcW w:w="5316" w:type="dxa"/>
          </w:tcPr>
          <w:p w14:paraId="1FA56D49" w14:textId="77777777" w:rsidR="00B670AF" w:rsidRPr="00114312" w:rsidRDefault="00B670AF" w:rsidP="00BE1185">
            <w:pPr>
              <w:pStyle w:val="Odstavecseseznamem"/>
              <w:numPr>
                <w:ilvl w:val="0"/>
                <w:numId w:val="7"/>
              </w:numPr>
              <w:ind w:left="432"/>
              <w:jc w:val="both"/>
              <w:rPr>
                <w:b w:val="0"/>
                <w:bCs w:val="0"/>
                <w:lang w:val="cs-CZ"/>
              </w:rPr>
            </w:pPr>
            <w:r w:rsidRPr="00114312">
              <w:rPr>
                <w:lang w:val="cs-CZ"/>
              </w:rPr>
              <w:t xml:space="preserve">Prosím o rekapitulaci toho, co vše má Zpráva o monitoringu obsahovat. </w:t>
            </w:r>
          </w:p>
        </w:tc>
        <w:tc>
          <w:tcPr>
            <w:tcW w:w="4039" w:type="dxa"/>
          </w:tcPr>
          <w:p w14:paraId="285E3B20" w14:textId="77777777" w:rsidR="00B670AF" w:rsidRPr="002875FF" w:rsidRDefault="00B670AF" w:rsidP="00F16BEC">
            <w:pPr>
              <w:jc w:val="both"/>
              <w:cnfStyle w:val="000000000000" w:firstRow="0" w:lastRow="0" w:firstColumn="0" w:lastColumn="0" w:oddVBand="0" w:evenVBand="0" w:oddHBand="0" w:evenHBand="0" w:firstRowFirstColumn="0" w:firstRowLastColumn="0" w:lastRowFirstColumn="0" w:lastRowLastColumn="0"/>
              <w:rPr>
                <w:lang w:val="cs-CZ"/>
              </w:rPr>
            </w:pPr>
            <w:r w:rsidRPr="002875FF">
              <w:rPr>
                <w:lang w:val="cs-CZ"/>
              </w:rPr>
              <w:t>Předpokládáme, že dotaz směřuje na komunikaci od monitorující osoby směrem k monitorované praxi. Zpráva o monitoringu nemá předepsaný obsah ani formát a její obsah se odvíjí od rozsahu činnosti, která je prováděna externě.</w:t>
            </w:r>
          </w:p>
        </w:tc>
      </w:tr>
      <w:tr w:rsidR="00B670AF" w:rsidRPr="00B7753B" w14:paraId="688AFFF4" w14:textId="77777777" w:rsidTr="00B67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6FDA3C95" w14:textId="77777777" w:rsidR="00B670AF" w:rsidRPr="00234347" w:rsidRDefault="00B670AF" w:rsidP="00BE1185">
            <w:pPr>
              <w:pStyle w:val="Odstavecseseznamem"/>
              <w:numPr>
                <w:ilvl w:val="0"/>
                <w:numId w:val="7"/>
              </w:numPr>
              <w:ind w:left="432"/>
              <w:jc w:val="both"/>
              <w:rPr>
                <w:b w:val="0"/>
                <w:bCs w:val="0"/>
                <w:lang w:val="cs-CZ"/>
              </w:rPr>
            </w:pPr>
            <w:r>
              <w:rPr>
                <w:lang w:val="cs-CZ"/>
              </w:rPr>
              <w:t>Pokud půjdu kontrolovat jiného auditora OSVČ, jak moc velkou dokumentaci k tomu musím vytvořit? Mám vyrobit šanon s důkazními prostředky, který pak odevzdám kontrolovanému auditorovi OSVČ, protože ten ho musí předložit při případné kontrole KAČR nebo mu stačí pouze výstupní zpráva ode mne a šanon si nechávám já?  Nebo mám šanony vyrobit rovnou dvakrát, ať je máme oba?</w:t>
            </w:r>
          </w:p>
        </w:tc>
        <w:tc>
          <w:tcPr>
            <w:tcW w:w="4039" w:type="dxa"/>
          </w:tcPr>
          <w:p w14:paraId="2253164B" w14:textId="77777777" w:rsidR="00B670AF" w:rsidRPr="00234347"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Z dotazu předpokládáme, že kontrolou myslíte externě provedený monitoring dle ISQM 1. Dokumentace, kterou vytvoříte, je plně dokumentací monitorujícího subjektu a není nezbytně nutné ji odevzdat monitorovanému auditorskému subjektu. Pro účely monitoringu plně postačí mu odevzdat monitorovací zprávu. Tato zpráva, které by měla mít podobu zprávy z dohodnutých procedur, by měla plně popsat veškeré monitorovací postupy včetně závěrů monitoringu a případného návrhu nápravných opatření (pokud bude návrh nápravných opatření předmětem uzavřené smlouvy).</w:t>
            </w:r>
          </w:p>
        </w:tc>
      </w:tr>
      <w:tr w:rsidR="00B670AF" w:rsidRPr="00B7753B" w14:paraId="7606A728" w14:textId="77777777" w:rsidTr="00B670AF">
        <w:tc>
          <w:tcPr>
            <w:cnfStyle w:val="001000000000" w:firstRow="0" w:lastRow="0" w:firstColumn="1" w:lastColumn="0" w:oddVBand="0" w:evenVBand="0" w:oddHBand="0" w:evenHBand="0" w:firstRowFirstColumn="0" w:firstRowLastColumn="0" w:lastRowFirstColumn="0" w:lastRowLastColumn="0"/>
            <w:tcW w:w="5316" w:type="dxa"/>
          </w:tcPr>
          <w:p w14:paraId="0A28B051" w14:textId="77777777" w:rsidR="00B670AF" w:rsidRPr="00234347" w:rsidRDefault="00B670AF" w:rsidP="00BE1185">
            <w:pPr>
              <w:pStyle w:val="Odstavecseseznamem"/>
              <w:numPr>
                <w:ilvl w:val="0"/>
                <w:numId w:val="7"/>
              </w:numPr>
              <w:ind w:left="432"/>
              <w:jc w:val="both"/>
              <w:rPr>
                <w:b w:val="0"/>
                <w:bCs w:val="0"/>
                <w:lang w:val="cs-CZ"/>
              </w:rPr>
            </w:pPr>
            <w:r>
              <w:rPr>
                <w:lang w:val="cs-CZ"/>
              </w:rPr>
              <w:t xml:space="preserve">Kde najdu příklad Zprávy z monitoringu?  </w:t>
            </w:r>
          </w:p>
        </w:tc>
        <w:tc>
          <w:tcPr>
            <w:tcW w:w="4039" w:type="dxa"/>
          </w:tcPr>
          <w:p w14:paraId="5600C15B" w14:textId="597A7FF0" w:rsidR="00B670AF" w:rsidRPr="00234347" w:rsidRDefault="00B670AF" w:rsidP="00F16BEC">
            <w:pPr>
              <w:jc w:val="both"/>
              <w:cnfStyle w:val="000000000000" w:firstRow="0" w:lastRow="0" w:firstColumn="0" w:lastColumn="0" w:oddVBand="0" w:evenVBand="0" w:oddHBand="0" w:evenHBand="0" w:firstRowFirstColumn="0" w:firstRowLastColumn="0" w:lastRowFirstColumn="0" w:lastRowLastColumn="0"/>
              <w:rPr>
                <w:lang w:val="cs-CZ"/>
              </w:rPr>
            </w:pPr>
            <w:r>
              <w:rPr>
                <w:lang w:val="cs-CZ"/>
              </w:rPr>
              <w:t xml:space="preserve">Úplná ukázka </w:t>
            </w:r>
            <w:r w:rsidR="00ED71DF">
              <w:rPr>
                <w:lang w:val="cs-CZ"/>
              </w:rPr>
              <w:t>z</w:t>
            </w:r>
            <w:r>
              <w:rPr>
                <w:lang w:val="cs-CZ"/>
              </w:rPr>
              <w:t xml:space="preserve">právy z monitoringu </w:t>
            </w:r>
            <w:r w:rsidR="00A8052A">
              <w:rPr>
                <w:lang w:val="cs-CZ"/>
              </w:rPr>
              <w:t xml:space="preserve">byla prezentována na semináři ISQM 1 </w:t>
            </w:r>
            <w:r>
              <w:rPr>
                <w:lang w:val="cs-CZ"/>
              </w:rPr>
              <w:t>v květnu 2024.</w:t>
            </w:r>
          </w:p>
        </w:tc>
      </w:tr>
      <w:tr w:rsidR="00B670AF" w:rsidRPr="00B7753B" w14:paraId="18A75067" w14:textId="77777777" w:rsidTr="00B67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3DC0B44C" w14:textId="77777777" w:rsidR="00B670AF" w:rsidRPr="00BA2B17" w:rsidRDefault="00B670AF" w:rsidP="00BE1185">
            <w:pPr>
              <w:pStyle w:val="Odstavecseseznamem"/>
              <w:numPr>
                <w:ilvl w:val="0"/>
                <w:numId w:val="7"/>
              </w:numPr>
              <w:ind w:left="432"/>
              <w:jc w:val="both"/>
              <w:rPr>
                <w:b w:val="0"/>
                <w:bCs w:val="0"/>
                <w:lang w:val="cs-CZ"/>
              </w:rPr>
            </w:pPr>
            <w:r>
              <w:rPr>
                <w:lang w:val="cs-CZ"/>
              </w:rPr>
              <w:t>Může komora nadefinovat právní věty do smlouvy?</w:t>
            </w:r>
          </w:p>
        </w:tc>
        <w:tc>
          <w:tcPr>
            <w:tcW w:w="4039" w:type="dxa"/>
          </w:tcPr>
          <w:p w14:paraId="24D19E01" w14:textId="191AD276" w:rsidR="00B670AF" w:rsidRPr="00BA2B17" w:rsidRDefault="00B670AF"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Komora nebude zveřejňovat ukázku možné smlouvy, protože právních forem takové smlouvy může být více. Komora zveřejní </w:t>
            </w:r>
            <w:r w:rsidR="00493928">
              <w:rPr>
                <w:lang w:val="cs-CZ"/>
              </w:rPr>
              <w:t>K</w:t>
            </w:r>
            <w:r>
              <w:rPr>
                <w:lang w:val="cs-CZ"/>
              </w:rPr>
              <w:t xml:space="preserve">ritéria a </w:t>
            </w:r>
            <w:r w:rsidR="00B7753B">
              <w:rPr>
                <w:lang w:val="cs-CZ"/>
              </w:rPr>
              <w:t xml:space="preserve">ilustrativní </w:t>
            </w:r>
            <w:r>
              <w:rPr>
                <w:lang w:val="cs-CZ"/>
              </w:rPr>
              <w:t xml:space="preserve">články smlouvy o externím provedení monitorovací činnosti.  </w:t>
            </w:r>
          </w:p>
        </w:tc>
      </w:tr>
    </w:tbl>
    <w:p w14:paraId="5F9D865F" w14:textId="77777777" w:rsidR="005E08DF" w:rsidRDefault="005E08DF" w:rsidP="00FB73FA">
      <w:pPr>
        <w:jc w:val="both"/>
        <w:rPr>
          <w:lang w:val="cs-CZ"/>
        </w:rPr>
      </w:pPr>
    </w:p>
    <w:p w14:paraId="53EB0A2F" w14:textId="77777777" w:rsidR="005E08DF" w:rsidRDefault="005E08DF" w:rsidP="00FB73FA">
      <w:pPr>
        <w:jc w:val="both"/>
        <w:rPr>
          <w:lang w:val="cs-CZ"/>
        </w:rPr>
      </w:pPr>
    </w:p>
    <w:p w14:paraId="449BF746" w14:textId="77777777" w:rsidR="005E08DF" w:rsidRDefault="005E08DF" w:rsidP="00FB73FA">
      <w:pPr>
        <w:jc w:val="both"/>
        <w:rPr>
          <w:lang w:val="cs-CZ"/>
        </w:rPr>
      </w:pPr>
    </w:p>
    <w:p w14:paraId="38FD93B3" w14:textId="1C1CF620" w:rsidR="005E08DF" w:rsidRPr="00FC114A" w:rsidRDefault="005E08DF" w:rsidP="00FC114A">
      <w:pPr>
        <w:pStyle w:val="Nadpis2"/>
        <w:numPr>
          <w:ilvl w:val="0"/>
          <w:numId w:val="6"/>
        </w:numPr>
        <w:rPr>
          <w:b/>
          <w:bCs/>
          <w:u w:val="single"/>
          <w:lang w:val="cs-CZ"/>
        </w:rPr>
      </w:pPr>
      <w:r w:rsidRPr="00FC114A">
        <w:rPr>
          <w:b/>
          <w:bCs/>
          <w:u w:val="single"/>
          <w:lang w:val="cs-CZ"/>
        </w:rPr>
        <w:lastRenderedPageBreak/>
        <w:t>Vlastní standard ISQM 1</w:t>
      </w:r>
    </w:p>
    <w:p w14:paraId="0EF8DAC6" w14:textId="77777777" w:rsidR="000D6B63" w:rsidRPr="000D6B63" w:rsidRDefault="000D6B63" w:rsidP="000D6B63">
      <w:pPr>
        <w:rPr>
          <w:lang w:val="cs-CZ"/>
        </w:rPr>
      </w:pPr>
    </w:p>
    <w:tbl>
      <w:tblPr>
        <w:tblStyle w:val="Tabulkasmkou4zvraznn1"/>
        <w:tblW w:w="9355" w:type="dxa"/>
        <w:tblLook w:val="04A0" w:firstRow="1" w:lastRow="0" w:firstColumn="1" w:lastColumn="0" w:noHBand="0" w:noVBand="1"/>
      </w:tblPr>
      <w:tblGrid>
        <w:gridCol w:w="5316"/>
        <w:gridCol w:w="4039"/>
      </w:tblGrid>
      <w:tr w:rsidR="000D6B63" w14:paraId="6115B197" w14:textId="77777777" w:rsidTr="000D6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69A9FDA9" w14:textId="77777777" w:rsidR="000D6B63" w:rsidRDefault="000D6B63" w:rsidP="00F16BEC">
            <w:pPr>
              <w:jc w:val="both"/>
              <w:rPr>
                <w:lang w:val="cs-CZ"/>
              </w:rPr>
            </w:pPr>
            <w:r>
              <w:rPr>
                <w:lang w:val="cs-CZ"/>
              </w:rPr>
              <w:t>Dotaz</w:t>
            </w:r>
          </w:p>
        </w:tc>
        <w:tc>
          <w:tcPr>
            <w:tcW w:w="4039" w:type="dxa"/>
          </w:tcPr>
          <w:p w14:paraId="397538ED" w14:textId="77777777" w:rsidR="000D6B63" w:rsidRPr="0063724A" w:rsidRDefault="000D6B63" w:rsidP="0063724A">
            <w:pPr>
              <w:ind w:left="360"/>
              <w:jc w:val="both"/>
              <w:cnfStyle w:val="100000000000" w:firstRow="1" w:lastRow="0" w:firstColumn="0" w:lastColumn="0" w:oddVBand="0" w:evenVBand="0" w:oddHBand="0" w:evenHBand="0" w:firstRowFirstColumn="0" w:firstRowLastColumn="0" w:lastRowFirstColumn="0" w:lastRowLastColumn="0"/>
              <w:rPr>
                <w:lang w:val="cs-CZ"/>
              </w:rPr>
            </w:pPr>
            <w:r w:rsidRPr="0063724A">
              <w:rPr>
                <w:lang w:val="cs-CZ"/>
              </w:rPr>
              <w:t>Odpověď</w:t>
            </w:r>
          </w:p>
        </w:tc>
      </w:tr>
      <w:tr w:rsidR="000D6B63" w:rsidRPr="009D60D4" w14:paraId="4C0938B6" w14:textId="77777777" w:rsidTr="000D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01E0B2C0" w14:textId="77777777" w:rsidR="000D6B63" w:rsidRPr="007F6C1C" w:rsidRDefault="000D6B63" w:rsidP="009A64FF">
            <w:pPr>
              <w:pStyle w:val="Odstavecseseznamem"/>
              <w:numPr>
                <w:ilvl w:val="0"/>
                <w:numId w:val="8"/>
              </w:numPr>
              <w:ind w:left="342"/>
              <w:jc w:val="both"/>
              <w:rPr>
                <w:b w:val="0"/>
                <w:bCs w:val="0"/>
                <w:lang w:val="cs-CZ"/>
              </w:rPr>
            </w:pPr>
            <w:r>
              <w:rPr>
                <w:lang w:val="cs-CZ"/>
              </w:rPr>
              <w:t>Jak mám naplnit kvalitativní cíle pro složku informace a komunikace?</w:t>
            </w:r>
          </w:p>
        </w:tc>
        <w:tc>
          <w:tcPr>
            <w:tcW w:w="4039" w:type="dxa"/>
          </w:tcPr>
          <w:p w14:paraId="243623D4" w14:textId="2C93D0D5" w:rsidR="000D6B63" w:rsidRPr="0063724A" w:rsidRDefault="000D6B63" w:rsidP="0063724A">
            <w:pPr>
              <w:ind w:left="-24"/>
              <w:jc w:val="both"/>
              <w:cnfStyle w:val="000000100000" w:firstRow="0" w:lastRow="0" w:firstColumn="0" w:lastColumn="0" w:oddVBand="0" w:evenVBand="0" w:oddHBand="1" w:evenHBand="0" w:firstRowFirstColumn="0" w:firstRowLastColumn="0" w:lastRowFirstColumn="0" w:lastRowLastColumn="0"/>
              <w:rPr>
                <w:lang w:val="cs-CZ"/>
              </w:rPr>
            </w:pPr>
            <w:r w:rsidRPr="0063724A">
              <w:rPr>
                <w:lang w:val="cs-CZ"/>
              </w:rPr>
              <w:t xml:space="preserve">Obdobně jako u ostatních složek je povinností auditorské </w:t>
            </w:r>
            <w:r w:rsidR="0089516E" w:rsidRPr="0063724A">
              <w:rPr>
                <w:lang w:val="cs-CZ"/>
              </w:rPr>
              <w:t>praxe identifikovat</w:t>
            </w:r>
            <w:r w:rsidRPr="0063724A">
              <w:rPr>
                <w:lang w:val="cs-CZ"/>
              </w:rPr>
              <w:t xml:space="preserve"> rizika ohrožující dosažení kvalitativních cílů (viz článek 33 ISQM1), stanovit vhodné reakce (na tato rizika a zajistit jejich účinnost. Tímto způsobem dojde k naplnění kvalitativních cílů.</w:t>
            </w:r>
          </w:p>
        </w:tc>
      </w:tr>
      <w:tr w:rsidR="000D6B63" w:rsidRPr="00B7753B" w14:paraId="1B84EF66" w14:textId="77777777" w:rsidTr="000D6B63">
        <w:tc>
          <w:tcPr>
            <w:cnfStyle w:val="001000000000" w:firstRow="0" w:lastRow="0" w:firstColumn="1" w:lastColumn="0" w:oddVBand="0" w:evenVBand="0" w:oddHBand="0" w:evenHBand="0" w:firstRowFirstColumn="0" w:firstRowLastColumn="0" w:lastRowFirstColumn="0" w:lastRowLastColumn="0"/>
            <w:tcW w:w="5316" w:type="dxa"/>
          </w:tcPr>
          <w:p w14:paraId="1CC080E3" w14:textId="77777777" w:rsidR="000D6B63" w:rsidRPr="001B6782" w:rsidRDefault="000D6B63" w:rsidP="009A64FF">
            <w:pPr>
              <w:pStyle w:val="Odstavecseseznamem"/>
              <w:numPr>
                <w:ilvl w:val="0"/>
                <w:numId w:val="8"/>
              </w:numPr>
              <w:ind w:left="342"/>
              <w:jc w:val="both"/>
              <w:rPr>
                <w:b w:val="0"/>
                <w:bCs w:val="0"/>
                <w:lang w:val="cs-CZ"/>
              </w:rPr>
            </w:pPr>
            <w:r>
              <w:rPr>
                <w:lang w:val="cs-CZ"/>
              </w:rPr>
              <w:t>Kdo provádí vyhodnocení systému řízení kvality ? To by měl dělat auditor OSVČ?  Na základě zprávy od externího spolupracovníka?</w:t>
            </w:r>
          </w:p>
        </w:tc>
        <w:tc>
          <w:tcPr>
            <w:tcW w:w="4039" w:type="dxa"/>
          </w:tcPr>
          <w:p w14:paraId="201D34F2" w14:textId="58479C68" w:rsidR="000D6B63" w:rsidRPr="0063724A" w:rsidRDefault="000D6B63" w:rsidP="0063724A">
            <w:pPr>
              <w:ind w:left="-24"/>
              <w:jc w:val="both"/>
              <w:cnfStyle w:val="000000000000" w:firstRow="0" w:lastRow="0" w:firstColumn="0" w:lastColumn="0" w:oddVBand="0" w:evenVBand="0" w:oddHBand="0" w:evenHBand="0" w:firstRowFirstColumn="0" w:firstRowLastColumn="0" w:lastRowFirstColumn="0" w:lastRowLastColumn="0"/>
              <w:rPr>
                <w:lang w:val="cs-CZ"/>
              </w:rPr>
            </w:pPr>
            <w:r w:rsidRPr="0063724A">
              <w:rPr>
                <w:lang w:val="cs-CZ"/>
              </w:rPr>
              <w:t xml:space="preserve">Této otázce nerozumíme. Pokud se vyhodnocením systému rozumí monitorovací zpráva, tak tu musí vyhotovit osoba či osoby provádějící monitoring ve smyslu standardu ISQM 1. Pokud se jedná o učinění </w:t>
            </w:r>
            <w:r w:rsidR="00444A6F" w:rsidRPr="0063724A">
              <w:rPr>
                <w:lang w:val="cs-CZ"/>
              </w:rPr>
              <w:t>závěru,</w:t>
            </w:r>
            <w:r w:rsidRPr="0063724A">
              <w:rPr>
                <w:lang w:val="cs-CZ"/>
              </w:rPr>
              <w:t xml:space="preserve"> zdali systém řízení kvality poskytuje firmě přiměřenou jistotu, že jsou naplňovány jeho cíle, tak toto činí monitorovaný subjekt (auditorská praxe a její osoba s konečnou odpovědností za firemní systém řízení kvality).</w:t>
            </w:r>
          </w:p>
        </w:tc>
      </w:tr>
      <w:tr w:rsidR="000D6B63" w:rsidRPr="00B7753B" w14:paraId="7D7E0A46" w14:textId="77777777" w:rsidTr="000D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489E0D7A" w14:textId="77777777" w:rsidR="000D6B63" w:rsidRPr="008C6FAC" w:rsidRDefault="000D6B63" w:rsidP="009A64FF">
            <w:pPr>
              <w:pStyle w:val="Odstavecseseznamem"/>
              <w:numPr>
                <w:ilvl w:val="0"/>
                <w:numId w:val="8"/>
              </w:numPr>
              <w:ind w:left="342"/>
              <w:jc w:val="both"/>
              <w:rPr>
                <w:b w:val="0"/>
                <w:bCs w:val="0"/>
                <w:lang w:val="cs-CZ"/>
              </w:rPr>
            </w:pPr>
            <w:r w:rsidRPr="008C6FAC">
              <w:rPr>
                <w:rStyle w:val="ui-provider"/>
                <w:lang w:val="cs-CZ"/>
              </w:rPr>
              <w:t>Každoroční zprávu o vyhodnocení systému řízení kvality sestavuje osoba s konečnou odpovědností za systém řízení kvality?</w:t>
            </w:r>
          </w:p>
        </w:tc>
        <w:tc>
          <w:tcPr>
            <w:tcW w:w="4039" w:type="dxa"/>
          </w:tcPr>
          <w:p w14:paraId="7277EAF7" w14:textId="1C33AE54" w:rsidR="000D6B63" w:rsidRPr="0063724A" w:rsidRDefault="000D6B63" w:rsidP="0063724A">
            <w:pPr>
              <w:ind w:left="-24"/>
              <w:jc w:val="both"/>
              <w:cnfStyle w:val="000000100000" w:firstRow="0" w:lastRow="0" w:firstColumn="0" w:lastColumn="0" w:oddVBand="0" w:evenVBand="0" w:oddHBand="1" w:evenHBand="0" w:firstRowFirstColumn="0" w:firstRowLastColumn="0" w:lastRowFirstColumn="0" w:lastRowLastColumn="0"/>
              <w:rPr>
                <w:lang w:val="cs-CZ"/>
              </w:rPr>
            </w:pPr>
            <w:r w:rsidRPr="0063724A">
              <w:rPr>
                <w:lang w:val="cs-CZ"/>
              </w:rPr>
              <w:t>Ano, dle článku 54 ISQM</w:t>
            </w:r>
            <w:r w:rsidR="00ED71DF">
              <w:rPr>
                <w:lang w:val="cs-CZ"/>
              </w:rPr>
              <w:t xml:space="preserve"> </w:t>
            </w:r>
            <w:r w:rsidRPr="0063724A">
              <w:rPr>
                <w:lang w:val="cs-CZ"/>
              </w:rPr>
              <w:t>1 vyhodnotí osoba pověřená konečnou odpovědností za systém řízení kvality tento systém, a učiní jeden ze tří závěrů uvedených v bodech 54</w:t>
            </w:r>
            <w:r w:rsidR="00ED71DF">
              <w:rPr>
                <w:lang w:val="cs-CZ"/>
              </w:rPr>
              <w:t xml:space="preserve"> </w:t>
            </w:r>
            <w:r w:rsidRPr="0063724A">
              <w:rPr>
                <w:lang w:val="cs-CZ"/>
              </w:rPr>
              <w:t xml:space="preserve">(a)-(c). </w:t>
            </w:r>
          </w:p>
        </w:tc>
      </w:tr>
      <w:tr w:rsidR="000D6B63" w:rsidRPr="00B7753B" w14:paraId="12662ECD" w14:textId="77777777" w:rsidTr="000D6B63">
        <w:tc>
          <w:tcPr>
            <w:cnfStyle w:val="001000000000" w:firstRow="0" w:lastRow="0" w:firstColumn="1" w:lastColumn="0" w:oddVBand="0" w:evenVBand="0" w:oddHBand="0" w:evenHBand="0" w:firstRowFirstColumn="0" w:firstRowLastColumn="0" w:lastRowFirstColumn="0" w:lastRowLastColumn="0"/>
            <w:tcW w:w="5316" w:type="dxa"/>
          </w:tcPr>
          <w:p w14:paraId="493D5370" w14:textId="77777777" w:rsidR="000D6B63" w:rsidRPr="00234347" w:rsidRDefault="000D6B63" w:rsidP="009A64FF">
            <w:pPr>
              <w:pStyle w:val="Odstavecseseznamem"/>
              <w:numPr>
                <w:ilvl w:val="0"/>
                <w:numId w:val="8"/>
              </w:numPr>
              <w:ind w:left="342"/>
              <w:jc w:val="both"/>
              <w:rPr>
                <w:b w:val="0"/>
                <w:bCs w:val="0"/>
                <w:lang w:val="cs-CZ"/>
              </w:rPr>
            </w:pPr>
            <w:r>
              <w:rPr>
                <w:lang w:val="cs-CZ"/>
              </w:rPr>
              <w:t xml:space="preserve">Jak mám některé skutečnosti u auditora OSVČ ověřovat?  Stačí forma dotazování nebo mám vyrobit Prohlášení, kde mi OSVČ některé skutečnosti potvrdí?  Například to, že nebere úplatky asi prakticky nijak neověřím? </w:t>
            </w:r>
          </w:p>
        </w:tc>
        <w:tc>
          <w:tcPr>
            <w:tcW w:w="4039" w:type="dxa"/>
          </w:tcPr>
          <w:p w14:paraId="50B6DDC2" w14:textId="05B37B6D" w:rsidR="000D6B63" w:rsidRPr="0063724A" w:rsidRDefault="000D6B63" w:rsidP="0063724A">
            <w:pPr>
              <w:ind w:left="-24"/>
              <w:jc w:val="both"/>
              <w:cnfStyle w:val="000000000000" w:firstRow="0" w:lastRow="0" w:firstColumn="0" w:lastColumn="0" w:oddVBand="0" w:evenVBand="0" w:oddHBand="0" w:evenHBand="0" w:firstRowFirstColumn="0" w:firstRowLastColumn="0" w:lastRowFirstColumn="0" w:lastRowLastColumn="0"/>
              <w:rPr>
                <w:lang w:val="cs-CZ"/>
              </w:rPr>
            </w:pPr>
            <w:r w:rsidRPr="0063724A">
              <w:rPr>
                <w:lang w:val="cs-CZ"/>
              </w:rPr>
              <w:t>Celá monitorovací činnost by měla být provedena všemi možnými formami, tj. rozhovorem či rozhovory s klíčovými pracovníky auditorské praxe, dotazování</w:t>
            </w:r>
            <w:r w:rsidR="00ED71DF">
              <w:rPr>
                <w:lang w:val="cs-CZ"/>
              </w:rPr>
              <w:t>m</w:t>
            </w:r>
            <w:r w:rsidRPr="0063724A">
              <w:rPr>
                <w:lang w:val="cs-CZ"/>
              </w:rPr>
              <w:t xml:space="preserve">, prezentací jednotlivých dokumentů a také inspekcí dokončených zakázek. Prohlášení není potřeba. Pokud je klíčovým pracovníkem tento jediný auditor OSVČ, pak rozhovor, dotazování a prezentace jednotlivých dokumentů je na této osobě. </w:t>
            </w:r>
          </w:p>
        </w:tc>
      </w:tr>
      <w:tr w:rsidR="000D6B63" w:rsidRPr="00B7753B" w14:paraId="6F35FB77" w14:textId="77777777" w:rsidTr="000D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1FF239FC" w14:textId="77777777" w:rsidR="000D6B63" w:rsidRPr="00234347" w:rsidRDefault="000D6B63" w:rsidP="009A64FF">
            <w:pPr>
              <w:pStyle w:val="Odstavecseseznamem"/>
              <w:numPr>
                <w:ilvl w:val="0"/>
                <w:numId w:val="8"/>
              </w:numPr>
              <w:ind w:left="342"/>
              <w:jc w:val="both"/>
              <w:rPr>
                <w:b w:val="0"/>
                <w:bCs w:val="0"/>
                <w:lang w:val="cs-CZ"/>
              </w:rPr>
            </w:pPr>
            <w:r>
              <w:rPr>
                <w:lang w:val="cs-CZ"/>
              </w:rPr>
              <w:t xml:space="preserve">Máme k dispozici vzorovou případovou studii s vyhodnocením rizik u malé auditorské společnosti. Nechystá se podobná studie i pro provedení monitoringu pro malé firmy a OSVČ? </w:t>
            </w:r>
          </w:p>
        </w:tc>
        <w:tc>
          <w:tcPr>
            <w:tcW w:w="4039" w:type="dxa"/>
          </w:tcPr>
          <w:p w14:paraId="2AA74CB1" w14:textId="77777777" w:rsidR="000D6B63" w:rsidRPr="0063724A" w:rsidRDefault="000D6B63" w:rsidP="0063724A">
            <w:pPr>
              <w:ind w:left="-24"/>
              <w:jc w:val="both"/>
              <w:cnfStyle w:val="000000100000" w:firstRow="0" w:lastRow="0" w:firstColumn="0" w:lastColumn="0" w:oddVBand="0" w:evenVBand="0" w:oddHBand="1" w:evenHBand="0" w:firstRowFirstColumn="0" w:firstRowLastColumn="0" w:lastRowFirstColumn="0" w:lastRowLastColumn="0"/>
              <w:rPr>
                <w:lang w:val="cs-CZ"/>
              </w:rPr>
            </w:pPr>
            <w:r w:rsidRPr="0063724A">
              <w:rPr>
                <w:lang w:val="cs-CZ"/>
              </w:rPr>
              <w:t xml:space="preserve">Další studie se nechystá. Vzorová případová studie a další dokumenty včetně ukázky monitorovací zprávy byly vytvořeny pro to, aby si auditoři ujasnili představu, jak lze požadavky standardu ISQM 1 naplnit. Variabilita auditorských praxí je taková, že není dost dobře možné vytvořit případové studie pro každou variantu auditorské praxe, která se může vyskytnout. </w:t>
            </w:r>
          </w:p>
        </w:tc>
      </w:tr>
    </w:tbl>
    <w:p w14:paraId="301C705D" w14:textId="77777777" w:rsidR="00DC28D7" w:rsidRDefault="00DC28D7" w:rsidP="00FB73FA">
      <w:pPr>
        <w:jc w:val="both"/>
        <w:rPr>
          <w:lang w:val="cs-CZ"/>
        </w:rPr>
      </w:pPr>
    </w:p>
    <w:p w14:paraId="1DF6FE66" w14:textId="13A57FBA" w:rsidR="005E08DF" w:rsidRPr="004B42F7" w:rsidRDefault="005E08DF" w:rsidP="004B42F7">
      <w:pPr>
        <w:pStyle w:val="Nadpis2"/>
        <w:numPr>
          <w:ilvl w:val="0"/>
          <w:numId w:val="6"/>
        </w:numPr>
        <w:rPr>
          <w:b/>
          <w:bCs/>
          <w:u w:val="single"/>
          <w:lang w:val="cs-CZ"/>
        </w:rPr>
      </w:pPr>
      <w:r w:rsidRPr="004B42F7">
        <w:rPr>
          <w:b/>
          <w:bCs/>
          <w:u w:val="single"/>
          <w:lang w:val="cs-CZ"/>
        </w:rPr>
        <w:lastRenderedPageBreak/>
        <w:t xml:space="preserve">Ostatní otázky </w:t>
      </w:r>
    </w:p>
    <w:p w14:paraId="35CCF329" w14:textId="77777777" w:rsidR="00292D39" w:rsidRPr="00292D39" w:rsidRDefault="00292D39" w:rsidP="00292D39">
      <w:pPr>
        <w:rPr>
          <w:lang w:val="cs-CZ"/>
        </w:rPr>
      </w:pPr>
    </w:p>
    <w:tbl>
      <w:tblPr>
        <w:tblStyle w:val="Tabulkasmkou4zvraznn1"/>
        <w:tblW w:w="9355" w:type="dxa"/>
        <w:tblLook w:val="04A0" w:firstRow="1" w:lastRow="0" w:firstColumn="1" w:lastColumn="0" w:noHBand="0" w:noVBand="1"/>
      </w:tblPr>
      <w:tblGrid>
        <w:gridCol w:w="5316"/>
        <w:gridCol w:w="4039"/>
      </w:tblGrid>
      <w:tr w:rsidR="00292D39" w14:paraId="7F1B8FEA" w14:textId="77777777" w:rsidTr="00C31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1998A017" w14:textId="77777777" w:rsidR="00292D39" w:rsidRDefault="00292D39" w:rsidP="00F16BEC">
            <w:pPr>
              <w:jc w:val="both"/>
              <w:rPr>
                <w:lang w:val="cs-CZ"/>
              </w:rPr>
            </w:pPr>
            <w:r>
              <w:rPr>
                <w:lang w:val="cs-CZ"/>
              </w:rPr>
              <w:t>Dotaz</w:t>
            </w:r>
          </w:p>
        </w:tc>
        <w:tc>
          <w:tcPr>
            <w:tcW w:w="4039" w:type="dxa"/>
          </w:tcPr>
          <w:p w14:paraId="0F42574B" w14:textId="77777777" w:rsidR="00292D39" w:rsidRDefault="00292D39" w:rsidP="00F16BEC">
            <w:pPr>
              <w:jc w:val="both"/>
              <w:cnfStyle w:val="100000000000" w:firstRow="1" w:lastRow="0" w:firstColumn="0" w:lastColumn="0" w:oddVBand="0" w:evenVBand="0" w:oddHBand="0" w:evenHBand="0" w:firstRowFirstColumn="0" w:firstRowLastColumn="0" w:lastRowFirstColumn="0" w:lastRowLastColumn="0"/>
              <w:rPr>
                <w:lang w:val="cs-CZ"/>
              </w:rPr>
            </w:pPr>
            <w:r>
              <w:rPr>
                <w:lang w:val="cs-CZ"/>
              </w:rPr>
              <w:t>Odpověď</w:t>
            </w:r>
          </w:p>
        </w:tc>
      </w:tr>
      <w:tr w:rsidR="00292D39" w:rsidRPr="00B7753B" w14:paraId="02368335" w14:textId="77777777" w:rsidTr="00C31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71DCEAF8" w14:textId="77777777" w:rsidR="00292D39" w:rsidRPr="007F6C1C" w:rsidRDefault="00292D39" w:rsidP="009A64FF">
            <w:pPr>
              <w:pStyle w:val="Odstavecseseznamem"/>
              <w:numPr>
                <w:ilvl w:val="0"/>
                <w:numId w:val="9"/>
              </w:numPr>
              <w:ind w:left="432"/>
              <w:jc w:val="both"/>
              <w:rPr>
                <w:b w:val="0"/>
                <w:bCs w:val="0"/>
                <w:lang w:val="cs-CZ"/>
              </w:rPr>
            </w:pPr>
            <w:r>
              <w:rPr>
                <w:lang w:val="cs-CZ"/>
              </w:rPr>
              <w:t xml:space="preserve">Je ISQM 1 nastaveny na firmy?  Existuje nějaké zjednodušení pro OSVČ? </w:t>
            </w:r>
          </w:p>
        </w:tc>
        <w:tc>
          <w:tcPr>
            <w:tcW w:w="4039" w:type="dxa"/>
          </w:tcPr>
          <w:p w14:paraId="432F21F5" w14:textId="02FD55FA" w:rsidR="00292D39" w:rsidRPr="007F6C1C" w:rsidRDefault="00292D39"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ISQM 1 je platný pro všechny auditorské praxe bez ohledu na právní formu subjektu, který provádí auditorskou činnost nebo jeho velikost. Zjednodušení pro OSVČ neexistuje. Standard však počítá s tím, že při návrhu a implementaci systému řízení kvality se složitost auditorské praxe a charakter prováděných zakázek projeví v množství a povaze rizik ohrožujících kvalitu, na které je nutné reagovat a zp</w:t>
            </w:r>
            <w:r w:rsidR="00ED71DF">
              <w:rPr>
                <w:lang w:val="cs-CZ"/>
              </w:rPr>
              <w:t>ů</w:t>
            </w:r>
            <w:r>
              <w:rPr>
                <w:lang w:val="cs-CZ"/>
              </w:rPr>
              <w:t xml:space="preserve">soby této reakce (viz např. článek A39 standardu). </w:t>
            </w:r>
          </w:p>
        </w:tc>
      </w:tr>
      <w:tr w:rsidR="00292D39" w14:paraId="7D20D231" w14:textId="77777777" w:rsidTr="00C31B4C">
        <w:tc>
          <w:tcPr>
            <w:cnfStyle w:val="001000000000" w:firstRow="0" w:lastRow="0" w:firstColumn="1" w:lastColumn="0" w:oddVBand="0" w:evenVBand="0" w:oddHBand="0" w:evenHBand="0" w:firstRowFirstColumn="0" w:firstRowLastColumn="0" w:lastRowFirstColumn="0" w:lastRowLastColumn="0"/>
            <w:tcW w:w="5316" w:type="dxa"/>
          </w:tcPr>
          <w:p w14:paraId="195F9AD4" w14:textId="77777777" w:rsidR="00292D39" w:rsidRPr="007F6C1C" w:rsidRDefault="00292D39" w:rsidP="009A64FF">
            <w:pPr>
              <w:pStyle w:val="Odstavecseseznamem"/>
              <w:numPr>
                <w:ilvl w:val="0"/>
                <w:numId w:val="9"/>
              </w:numPr>
              <w:ind w:left="432"/>
              <w:jc w:val="both"/>
              <w:rPr>
                <w:b w:val="0"/>
                <w:bCs w:val="0"/>
                <w:lang w:val="cs-CZ"/>
              </w:rPr>
            </w:pPr>
            <w:r>
              <w:rPr>
                <w:lang w:val="cs-CZ"/>
              </w:rPr>
              <w:t>Jaké jsou požadavky na termíny monitorovacího procesu? „První rok provozu“ ISQM 1 je rok 2023. Postačí tedy monitoring do dvou měsíců, například do konce února 2024?</w:t>
            </w:r>
          </w:p>
        </w:tc>
        <w:tc>
          <w:tcPr>
            <w:tcW w:w="4039" w:type="dxa"/>
          </w:tcPr>
          <w:p w14:paraId="03C379B5" w14:textId="3ACBAD8F" w:rsidR="00292D39" w:rsidRPr="007F6C1C" w:rsidRDefault="00292D39" w:rsidP="00F16BEC">
            <w:pPr>
              <w:jc w:val="both"/>
              <w:cnfStyle w:val="000000000000" w:firstRow="0" w:lastRow="0" w:firstColumn="0" w:lastColumn="0" w:oddVBand="0" w:evenVBand="0" w:oddHBand="0" w:evenHBand="0" w:firstRowFirstColumn="0" w:firstRowLastColumn="0" w:lastRowFirstColumn="0" w:lastRowLastColumn="0"/>
              <w:rPr>
                <w:lang w:val="cs-CZ"/>
              </w:rPr>
            </w:pPr>
            <w:r>
              <w:rPr>
                <w:lang w:val="cs-CZ"/>
              </w:rPr>
              <w:t>Dle požadavků ISQM 1 mělo být vyhodnocení systému řízení kvality, pro které je monitoring podkladem, provedeno do 15. prosince 2023, takže nestačí. Viz ISQM</w:t>
            </w:r>
            <w:r w:rsidR="00ED71DF">
              <w:rPr>
                <w:lang w:val="cs-CZ"/>
              </w:rPr>
              <w:t xml:space="preserve"> </w:t>
            </w:r>
            <w:r>
              <w:rPr>
                <w:lang w:val="cs-CZ"/>
              </w:rPr>
              <w:t>1 odst. 13</w:t>
            </w:r>
            <w:r w:rsidR="00ED71DF">
              <w:rPr>
                <w:lang w:val="cs-CZ"/>
              </w:rPr>
              <w:t>.</w:t>
            </w:r>
          </w:p>
        </w:tc>
      </w:tr>
      <w:tr w:rsidR="00292D39" w:rsidRPr="00B7753B" w14:paraId="58789CFE" w14:textId="77777777" w:rsidTr="00C31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6" w:type="dxa"/>
          </w:tcPr>
          <w:p w14:paraId="4A6472F0" w14:textId="77777777" w:rsidR="00292D39" w:rsidRPr="007F6C1C" w:rsidRDefault="00292D39" w:rsidP="009A64FF">
            <w:pPr>
              <w:pStyle w:val="Odstavecseseznamem"/>
              <w:numPr>
                <w:ilvl w:val="0"/>
                <w:numId w:val="9"/>
              </w:numPr>
              <w:ind w:left="432"/>
              <w:jc w:val="both"/>
              <w:rPr>
                <w:b w:val="0"/>
                <w:bCs w:val="0"/>
                <w:lang w:val="cs-CZ"/>
              </w:rPr>
            </w:pPr>
            <w:r>
              <w:rPr>
                <w:lang w:val="cs-CZ"/>
              </w:rPr>
              <w:t>Je monitoring auditorskou činností?</w:t>
            </w:r>
          </w:p>
        </w:tc>
        <w:tc>
          <w:tcPr>
            <w:tcW w:w="4039" w:type="dxa"/>
          </w:tcPr>
          <w:p w14:paraId="0A9A31E4" w14:textId="5F9BFFBF" w:rsidR="00292D39" w:rsidRPr="007F6C1C" w:rsidRDefault="00292D39" w:rsidP="00F16BEC">
            <w:pPr>
              <w:jc w:val="both"/>
              <w:cnfStyle w:val="000000100000" w:firstRow="0" w:lastRow="0" w:firstColumn="0" w:lastColumn="0" w:oddVBand="0" w:evenVBand="0" w:oddHBand="1" w:evenHBand="0" w:firstRowFirstColumn="0" w:firstRowLastColumn="0" w:lastRowFirstColumn="0" w:lastRowLastColumn="0"/>
              <w:rPr>
                <w:lang w:val="cs-CZ"/>
              </w:rPr>
            </w:pPr>
            <w:r>
              <w:rPr>
                <w:lang w:val="cs-CZ"/>
              </w:rPr>
              <w:t xml:space="preserve">Monitoring není auditorskou činností (viz § 2, písmeno c) </w:t>
            </w:r>
            <w:r w:rsidR="00ED71DF">
              <w:rPr>
                <w:lang w:val="cs-CZ"/>
              </w:rPr>
              <w:t>z</w:t>
            </w:r>
            <w:r>
              <w:rPr>
                <w:lang w:val="cs-CZ"/>
              </w:rPr>
              <w:t>ákona o auditorech</w:t>
            </w:r>
            <w:r w:rsidR="00ED71DF">
              <w:rPr>
                <w:lang w:val="cs-CZ"/>
              </w:rPr>
              <w:t>.</w:t>
            </w:r>
            <w:r>
              <w:rPr>
                <w:lang w:val="cs-CZ"/>
              </w:rPr>
              <w:t xml:space="preserve"> Z toho vyplývá, že prováděný monitoring není předmětem kontroly kvality u monitorující osoby či monitorujících os</w:t>
            </w:r>
            <w:bookmarkStart w:id="1" w:name="_GoBack"/>
            <w:bookmarkEnd w:id="1"/>
            <w:r>
              <w:rPr>
                <w:lang w:val="cs-CZ"/>
              </w:rPr>
              <w:t xml:space="preserve">ob. Je však předmětem kontroly kvality u monitorované auditorské praxe. V konečném důsledku honorář za provedený monitoring nevstupuje do základu pro výpočet pohyblivého příspěvku Komoře auditorů České republiky. </w:t>
            </w:r>
          </w:p>
        </w:tc>
      </w:tr>
      <w:tr w:rsidR="00292D39" w:rsidRPr="00B7753B" w14:paraId="5683DBF9" w14:textId="77777777" w:rsidTr="00C31B4C">
        <w:tc>
          <w:tcPr>
            <w:cnfStyle w:val="001000000000" w:firstRow="0" w:lastRow="0" w:firstColumn="1" w:lastColumn="0" w:oddVBand="0" w:evenVBand="0" w:oddHBand="0" w:evenHBand="0" w:firstRowFirstColumn="0" w:firstRowLastColumn="0" w:lastRowFirstColumn="0" w:lastRowLastColumn="0"/>
            <w:tcW w:w="5316" w:type="dxa"/>
          </w:tcPr>
          <w:p w14:paraId="71B4A1FF" w14:textId="77777777" w:rsidR="00292D39" w:rsidRPr="007F6C1C" w:rsidRDefault="00292D39" w:rsidP="009A64FF">
            <w:pPr>
              <w:pStyle w:val="Odstavecseseznamem"/>
              <w:numPr>
                <w:ilvl w:val="0"/>
                <w:numId w:val="9"/>
              </w:numPr>
              <w:ind w:left="432"/>
              <w:jc w:val="both"/>
              <w:rPr>
                <w:b w:val="0"/>
                <w:bCs w:val="0"/>
                <w:lang w:val="cs-CZ"/>
              </w:rPr>
            </w:pPr>
            <w:r>
              <w:rPr>
                <w:lang w:val="cs-CZ"/>
              </w:rPr>
              <w:t>Jak často se monitoring provádí?</w:t>
            </w:r>
          </w:p>
        </w:tc>
        <w:tc>
          <w:tcPr>
            <w:tcW w:w="4039" w:type="dxa"/>
          </w:tcPr>
          <w:p w14:paraId="39B7AD65" w14:textId="77777777" w:rsidR="00292D39" w:rsidRPr="007F6C1C" w:rsidRDefault="00292D39" w:rsidP="00F16BEC">
            <w:pPr>
              <w:jc w:val="both"/>
              <w:cnfStyle w:val="000000000000" w:firstRow="0" w:lastRow="0" w:firstColumn="0" w:lastColumn="0" w:oddVBand="0" w:evenVBand="0" w:oddHBand="0" w:evenHBand="0" w:firstRowFirstColumn="0" w:firstRowLastColumn="0" w:lastRowFirstColumn="0" w:lastRowLastColumn="0"/>
              <w:rPr>
                <w:lang w:val="cs-CZ"/>
              </w:rPr>
            </w:pPr>
            <w:r>
              <w:rPr>
                <w:lang w:val="cs-CZ"/>
              </w:rPr>
              <w:t>Vyhodnocení systému řízení kvality se provádí k určitému termínu, nejméně jednou ročně. Jako podklad k vyhodnocení slouží monitorovací činnosti, monitoring tedy musí být prováděn minimálně ve stejné periodicitě, avšak jeho rozsah se může z roku na rok odlišovat. Jak často a jaké monitorovací činnosti jsou prováděny si stanoví firma v rámci monitorovacího a nápravného procesu. Lze například stanovit, že za určitých podmínek se inspekce zakázek provádí např. jednou za 3 roky, reakce na méně rizikové oblasti se testují např. jednou za 2 roky, apod.</w:t>
            </w:r>
          </w:p>
        </w:tc>
      </w:tr>
    </w:tbl>
    <w:p w14:paraId="1633B375" w14:textId="77777777" w:rsidR="00394577" w:rsidRPr="00FB73FA" w:rsidRDefault="00394577" w:rsidP="00FB73FA">
      <w:pPr>
        <w:jc w:val="both"/>
        <w:rPr>
          <w:lang w:val="cs-CZ"/>
        </w:rPr>
      </w:pPr>
    </w:p>
    <w:sectPr w:rsidR="00394577" w:rsidRPr="00FB73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808D3" w14:textId="77777777" w:rsidR="00B36785" w:rsidRDefault="00B36785" w:rsidP="00FB73FA">
      <w:pPr>
        <w:spacing w:after="0" w:line="240" w:lineRule="auto"/>
      </w:pPr>
      <w:r>
        <w:separator/>
      </w:r>
    </w:p>
  </w:endnote>
  <w:endnote w:type="continuationSeparator" w:id="0">
    <w:p w14:paraId="7DFA7782" w14:textId="77777777" w:rsidR="00B36785" w:rsidRDefault="00B36785" w:rsidP="00FB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5FEC" w14:textId="77777777" w:rsidR="00FB73FA" w:rsidRDefault="00FB73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8A1E" w14:textId="77777777" w:rsidR="00FB73FA" w:rsidRDefault="00FB73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61D9" w14:textId="77777777" w:rsidR="00FB73FA" w:rsidRDefault="00FB73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24BC1" w14:textId="77777777" w:rsidR="00B36785" w:rsidRDefault="00B36785" w:rsidP="00FB73FA">
      <w:pPr>
        <w:spacing w:after="0" w:line="240" w:lineRule="auto"/>
      </w:pPr>
      <w:r>
        <w:separator/>
      </w:r>
    </w:p>
  </w:footnote>
  <w:footnote w:type="continuationSeparator" w:id="0">
    <w:p w14:paraId="13CD9C35" w14:textId="77777777" w:rsidR="00B36785" w:rsidRDefault="00B36785" w:rsidP="00FB7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AEC3B" w14:textId="77777777" w:rsidR="00FB73FA" w:rsidRDefault="00FB73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D86A" w14:textId="08207645" w:rsidR="00FB73FA" w:rsidRDefault="00FB73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87D0" w14:textId="77777777" w:rsidR="00FB73FA" w:rsidRDefault="00FB73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F19"/>
      </v:shape>
    </w:pict>
  </w:numPicBullet>
  <w:abstractNum w:abstractNumId="0" w15:restartNumberingAfterBreak="0">
    <w:nsid w:val="09C86341"/>
    <w:multiLevelType w:val="hybridMultilevel"/>
    <w:tmpl w:val="E1F4D6C8"/>
    <w:lvl w:ilvl="0" w:tplc="EF86A16A">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EC20C9"/>
    <w:multiLevelType w:val="hybridMultilevel"/>
    <w:tmpl w:val="D1D6A4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4472B"/>
    <w:multiLevelType w:val="hybridMultilevel"/>
    <w:tmpl w:val="444A4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77D5A"/>
    <w:multiLevelType w:val="hybridMultilevel"/>
    <w:tmpl w:val="518E4C88"/>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29294E"/>
    <w:multiLevelType w:val="hybridMultilevel"/>
    <w:tmpl w:val="086A1D8A"/>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F572AB"/>
    <w:multiLevelType w:val="hybridMultilevel"/>
    <w:tmpl w:val="C7AE1C20"/>
    <w:lvl w:ilvl="0" w:tplc="EF86A16A">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0F72B7"/>
    <w:multiLevelType w:val="hybridMultilevel"/>
    <w:tmpl w:val="2E5018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056C1"/>
    <w:multiLevelType w:val="hybridMultilevel"/>
    <w:tmpl w:val="F8462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B62050"/>
    <w:multiLevelType w:val="hybridMultilevel"/>
    <w:tmpl w:val="518E4C88"/>
    <w:lvl w:ilvl="0" w:tplc="EF86A16A">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A6"/>
    <w:rsid w:val="00000286"/>
    <w:rsid w:val="000251EA"/>
    <w:rsid w:val="00037EBA"/>
    <w:rsid w:val="000409F2"/>
    <w:rsid w:val="0005105E"/>
    <w:rsid w:val="000535CE"/>
    <w:rsid w:val="000712EA"/>
    <w:rsid w:val="000760F2"/>
    <w:rsid w:val="00077DB1"/>
    <w:rsid w:val="00097DBE"/>
    <w:rsid w:val="000A3CB3"/>
    <w:rsid w:val="000B14E4"/>
    <w:rsid w:val="000C1B3A"/>
    <w:rsid w:val="000D42DE"/>
    <w:rsid w:val="000D6B63"/>
    <w:rsid w:val="000E0AB8"/>
    <w:rsid w:val="000E23CF"/>
    <w:rsid w:val="000E3944"/>
    <w:rsid w:val="000F092B"/>
    <w:rsid w:val="000F7D43"/>
    <w:rsid w:val="0010722F"/>
    <w:rsid w:val="00114312"/>
    <w:rsid w:val="00127EC0"/>
    <w:rsid w:val="0013292D"/>
    <w:rsid w:val="00134D9F"/>
    <w:rsid w:val="00147DA5"/>
    <w:rsid w:val="00155E6C"/>
    <w:rsid w:val="00157D7F"/>
    <w:rsid w:val="00173E50"/>
    <w:rsid w:val="001916AD"/>
    <w:rsid w:val="001A5AF6"/>
    <w:rsid w:val="001B6782"/>
    <w:rsid w:val="001C1600"/>
    <w:rsid w:val="001C18C9"/>
    <w:rsid w:val="001C1C09"/>
    <w:rsid w:val="001C6656"/>
    <w:rsid w:val="001D2FD2"/>
    <w:rsid w:val="001D33E4"/>
    <w:rsid w:val="001F4F70"/>
    <w:rsid w:val="00204FAA"/>
    <w:rsid w:val="00214B59"/>
    <w:rsid w:val="002206F0"/>
    <w:rsid w:val="002237CC"/>
    <w:rsid w:val="00224193"/>
    <w:rsid w:val="00224BBC"/>
    <w:rsid w:val="00234347"/>
    <w:rsid w:val="0025033F"/>
    <w:rsid w:val="002604CB"/>
    <w:rsid w:val="002875FF"/>
    <w:rsid w:val="00292D39"/>
    <w:rsid w:val="002A0887"/>
    <w:rsid w:val="002A3300"/>
    <w:rsid w:val="002D521A"/>
    <w:rsid w:val="002E1344"/>
    <w:rsid w:val="00310104"/>
    <w:rsid w:val="003107F1"/>
    <w:rsid w:val="003458DA"/>
    <w:rsid w:val="00384FDB"/>
    <w:rsid w:val="00387A2D"/>
    <w:rsid w:val="00394577"/>
    <w:rsid w:val="003A61E4"/>
    <w:rsid w:val="003B1C21"/>
    <w:rsid w:val="003C6202"/>
    <w:rsid w:val="003D2BD7"/>
    <w:rsid w:val="003E47BD"/>
    <w:rsid w:val="003E6FE1"/>
    <w:rsid w:val="003F6776"/>
    <w:rsid w:val="00402251"/>
    <w:rsid w:val="00403675"/>
    <w:rsid w:val="00420334"/>
    <w:rsid w:val="00444A6F"/>
    <w:rsid w:val="00453030"/>
    <w:rsid w:val="0046415D"/>
    <w:rsid w:val="00466A5D"/>
    <w:rsid w:val="00473EED"/>
    <w:rsid w:val="00476AFA"/>
    <w:rsid w:val="0048532D"/>
    <w:rsid w:val="00493928"/>
    <w:rsid w:val="004A2DF4"/>
    <w:rsid w:val="004B1555"/>
    <w:rsid w:val="004B3D3D"/>
    <w:rsid w:val="004B42F7"/>
    <w:rsid w:val="004C3B2F"/>
    <w:rsid w:val="004D20F0"/>
    <w:rsid w:val="004E454D"/>
    <w:rsid w:val="004F5F76"/>
    <w:rsid w:val="0050601D"/>
    <w:rsid w:val="005171AA"/>
    <w:rsid w:val="00533FB0"/>
    <w:rsid w:val="00553360"/>
    <w:rsid w:val="00560A87"/>
    <w:rsid w:val="00583F50"/>
    <w:rsid w:val="005B022F"/>
    <w:rsid w:val="005B3AC6"/>
    <w:rsid w:val="005B5C6E"/>
    <w:rsid w:val="005E08DF"/>
    <w:rsid w:val="005F3E5D"/>
    <w:rsid w:val="00610F02"/>
    <w:rsid w:val="006160AC"/>
    <w:rsid w:val="006226F1"/>
    <w:rsid w:val="00632DFA"/>
    <w:rsid w:val="006348CD"/>
    <w:rsid w:val="00634BBE"/>
    <w:rsid w:val="0063724A"/>
    <w:rsid w:val="00646FC1"/>
    <w:rsid w:val="006740F3"/>
    <w:rsid w:val="00696C89"/>
    <w:rsid w:val="00697043"/>
    <w:rsid w:val="006B33AB"/>
    <w:rsid w:val="006E4C7A"/>
    <w:rsid w:val="006F23E2"/>
    <w:rsid w:val="006F6A8E"/>
    <w:rsid w:val="006F726E"/>
    <w:rsid w:val="00707ED8"/>
    <w:rsid w:val="0071734B"/>
    <w:rsid w:val="00742CE5"/>
    <w:rsid w:val="007539FB"/>
    <w:rsid w:val="0077629F"/>
    <w:rsid w:val="0078079B"/>
    <w:rsid w:val="00786327"/>
    <w:rsid w:val="007B1F58"/>
    <w:rsid w:val="007B7F86"/>
    <w:rsid w:val="007D1F7C"/>
    <w:rsid w:val="007D237C"/>
    <w:rsid w:val="007D501B"/>
    <w:rsid w:val="007D737D"/>
    <w:rsid w:val="007F6C1C"/>
    <w:rsid w:val="00803493"/>
    <w:rsid w:val="00822FCF"/>
    <w:rsid w:val="00832577"/>
    <w:rsid w:val="008507D5"/>
    <w:rsid w:val="008513A3"/>
    <w:rsid w:val="00855573"/>
    <w:rsid w:val="0088528A"/>
    <w:rsid w:val="00892388"/>
    <w:rsid w:val="0089516E"/>
    <w:rsid w:val="008A2F86"/>
    <w:rsid w:val="008A4DFE"/>
    <w:rsid w:val="008B78A2"/>
    <w:rsid w:val="008C6FAC"/>
    <w:rsid w:val="008F00E5"/>
    <w:rsid w:val="008F0E03"/>
    <w:rsid w:val="008F622A"/>
    <w:rsid w:val="009045F0"/>
    <w:rsid w:val="009116C0"/>
    <w:rsid w:val="0093253D"/>
    <w:rsid w:val="00952D43"/>
    <w:rsid w:val="00965D98"/>
    <w:rsid w:val="009707A5"/>
    <w:rsid w:val="0098408F"/>
    <w:rsid w:val="009A64FF"/>
    <w:rsid w:val="009C3056"/>
    <w:rsid w:val="009D48D9"/>
    <w:rsid w:val="009D60D4"/>
    <w:rsid w:val="009E14C6"/>
    <w:rsid w:val="009E47A0"/>
    <w:rsid w:val="009F5A89"/>
    <w:rsid w:val="00A12798"/>
    <w:rsid w:val="00A16996"/>
    <w:rsid w:val="00A3033D"/>
    <w:rsid w:val="00A55C35"/>
    <w:rsid w:val="00A65605"/>
    <w:rsid w:val="00A75575"/>
    <w:rsid w:val="00A8052A"/>
    <w:rsid w:val="00AA124B"/>
    <w:rsid w:val="00AA1F90"/>
    <w:rsid w:val="00AB2285"/>
    <w:rsid w:val="00AC4D79"/>
    <w:rsid w:val="00AC5496"/>
    <w:rsid w:val="00AD3058"/>
    <w:rsid w:val="00AE6778"/>
    <w:rsid w:val="00AF559C"/>
    <w:rsid w:val="00B00FEC"/>
    <w:rsid w:val="00B20B29"/>
    <w:rsid w:val="00B3423C"/>
    <w:rsid w:val="00B36785"/>
    <w:rsid w:val="00B670AF"/>
    <w:rsid w:val="00B70124"/>
    <w:rsid w:val="00B753DB"/>
    <w:rsid w:val="00B7753B"/>
    <w:rsid w:val="00B97C50"/>
    <w:rsid w:val="00BA2B17"/>
    <w:rsid w:val="00BC1D72"/>
    <w:rsid w:val="00BC7EB9"/>
    <w:rsid w:val="00BE0ECE"/>
    <w:rsid w:val="00BE1185"/>
    <w:rsid w:val="00BE70A3"/>
    <w:rsid w:val="00BF2682"/>
    <w:rsid w:val="00BF5B43"/>
    <w:rsid w:val="00C05044"/>
    <w:rsid w:val="00C20679"/>
    <w:rsid w:val="00C226C5"/>
    <w:rsid w:val="00C31B4C"/>
    <w:rsid w:val="00C46975"/>
    <w:rsid w:val="00C80118"/>
    <w:rsid w:val="00CA30A2"/>
    <w:rsid w:val="00CC21CD"/>
    <w:rsid w:val="00CC2EDA"/>
    <w:rsid w:val="00CD7809"/>
    <w:rsid w:val="00CE3B70"/>
    <w:rsid w:val="00CF1AA6"/>
    <w:rsid w:val="00D01541"/>
    <w:rsid w:val="00D05BA0"/>
    <w:rsid w:val="00D06AB2"/>
    <w:rsid w:val="00D22920"/>
    <w:rsid w:val="00D25F81"/>
    <w:rsid w:val="00D50A18"/>
    <w:rsid w:val="00D76FD4"/>
    <w:rsid w:val="00D971FA"/>
    <w:rsid w:val="00DC1CE6"/>
    <w:rsid w:val="00DC28D7"/>
    <w:rsid w:val="00DC59B1"/>
    <w:rsid w:val="00DD31A8"/>
    <w:rsid w:val="00DE0137"/>
    <w:rsid w:val="00DF06AC"/>
    <w:rsid w:val="00E0131B"/>
    <w:rsid w:val="00E02643"/>
    <w:rsid w:val="00E21A69"/>
    <w:rsid w:val="00E27FC5"/>
    <w:rsid w:val="00E302CB"/>
    <w:rsid w:val="00E35C21"/>
    <w:rsid w:val="00E505B6"/>
    <w:rsid w:val="00E52B29"/>
    <w:rsid w:val="00E911BB"/>
    <w:rsid w:val="00E97D08"/>
    <w:rsid w:val="00EC23D0"/>
    <w:rsid w:val="00EC3BA0"/>
    <w:rsid w:val="00EC6BE8"/>
    <w:rsid w:val="00ED71DF"/>
    <w:rsid w:val="00F05D48"/>
    <w:rsid w:val="00F06223"/>
    <w:rsid w:val="00F101EC"/>
    <w:rsid w:val="00F15598"/>
    <w:rsid w:val="00F31DD1"/>
    <w:rsid w:val="00F328C6"/>
    <w:rsid w:val="00F77560"/>
    <w:rsid w:val="00F92103"/>
    <w:rsid w:val="00FB1351"/>
    <w:rsid w:val="00FB2681"/>
    <w:rsid w:val="00FB34FA"/>
    <w:rsid w:val="00FB4BC9"/>
    <w:rsid w:val="00FB73FA"/>
    <w:rsid w:val="00FC114A"/>
    <w:rsid w:val="00FF082A"/>
    <w:rsid w:val="00FF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88B4152"/>
  <w15:chartTrackingRefBased/>
  <w15:docId w15:val="{54946CA1-9632-4D1C-BCCD-B8C9ECB4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945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E08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4577"/>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FB73FA"/>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FB73FA"/>
  </w:style>
  <w:style w:type="paragraph" w:styleId="Zpat">
    <w:name w:val="footer"/>
    <w:basedOn w:val="Normln"/>
    <w:link w:val="ZpatChar"/>
    <w:uiPriority w:val="99"/>
    <w:unhideWhenUsed/>
    <w:rsid w:val="00FB73FA"/>
    <w:pPr>
      <w:tabs>
        <w:tab w:val="center" w:pos="4680"/>
        <w:tab w:val="right" w:pos="9360"/>
      </w:tabs>
      <w:spacing w:after="0" w:line="240" w:lineRule="auto"/>
    </w:pPr>
  </w:style>
  <w:style w:type="character" w:customStyle="1" w:styleId="ZpatChar">
    <w:name w:val="Zápatí Char"/>
    <w:basedOn w:val="Standardnpsmoodstavce"/>
    <w:link w:val="Zpat"/>
    <w:uiPriority w:val="99"/>
    <w:rsid w:val="00FB73FA"/>
  </w:style>
  <w:style w:type="table" w:styleId="Mkatabulky">
    <w:name w:val="Table Grid"/>
    <w:basedOn w:val="Normlntabulka"/>
    <w:uiPriority w:val="39"/>
    <w:rsid w:val="000E2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1">
    <w:name w:val="Grid Table 4 Accent 1"/>
    <w:basedOn w:val="Normlntabulka"/>
    <w:uiPriority w:val="49"/>
    <w:rsid w:val="000E23C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Odstavecseseznamem">
    <w:name w:val="List Paragraph"/>
    <w:basedOn w:val="Normln"/>
    <w:uiPriority w:val="34"/>
    <w:qFormat/>
    <w:rsid w:val="000E23CF"/>
    <w:pPr>
      <w:ind w:left="720"/>
      <w:contextualSpacing/>
    </w:pPr>
  </w:style>
  <w:style w:type="character" w:customStyle="1" w:styleId="ui-provider">
    <w:name w:val="ui-provider"/>
    <w:rsid w:val="008C6FAC"/>
  </w:style>
  <w:style w:type="paragraph" w:styleId="Normlnweb">
    <w:name w:val="Normal (Web)"/>
    <w:basedOn w:val="Normln"/>
    <w:uiPriority w:val="99"/>
    <w:unhideWhenUsed/>
    <w:rsid w:val="0005105E"/>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paragraph" w:styleId="Revize">
    <w:name w:val="Revision"/>
    <w:hidden/>
    <w:uiPriority w:val="99"/>
    <w:semiHidden/>
    <w:rsid w:val="00AE6778"/>
    <w:pPr>
      <w:spacing w:after="0" w:line="240" w:lineRule="auto"/>
    </w:pPr>
  </w:style>
  <w:style w:type="paragraph" w:styleId="Textbubliny">
    <w:name w:val="Balloon Text"/>
    <w:basedOn w:val="Normln"/>
    <w:link w:val="TextbublinyChar"/>
    <w:uiPriority w:val="99"/>
    <w:semiHidden/>
    <w:unhideWhenUsed/>
    <w:rsid w:val="00B753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53DB"/>
    <w:rPr>
      <w:rFonts w:ascii="Segoe UI" w:hAnsi="Segoe UI" w:cs="Segoe UI"/>
      <w:sz w:val="18"/>
      <w:szCs w:val="18"/>
    </w:rPr>
  </w:style>
  <w:style w:type="character" w:styleId="Odkaznakoment">
    <w:name w:val="annotation reference"/>
    <w:basedOn w:val="Standardnpsmoodstavce"/>
    <w:uiPriority w:val="99"/>
    <w:semiHidden/>
    <w:unhideWhenUsed/>
    <w:rsid w:val="00B753DB"/>
    <w:rPr>
      <w:sz w:val="16"/>
      <w:szCs w:val="16"/>
    </w:rPr>
  </w:style>
  <w:style w:type="paragraph" w:styleId="Textkomente">
    <w:name w:val="annotation text"/>
    <w:basedOn w:val="Normln"/>
    <w:link w:val="TextkomenteChar"/>
    <w:uiPriority w:val="99"/>
    <w:unhideWhenUsed/>
    <w:rsid w:val="00B753DB"/>
    <w:pPr>
      <w:spacing w:line="240" w:lineRule="auto"/>
    </w:pPr>
    <w:rPr>
      <w:sz w:val="20"/>
      <w:szCs w:val="20"/>
    </w:rPr>
  </w:style>
  <w:style w:type="character" w:customStyle="1" w:styleId="TextkomenteChar">
    <w:name w:val="Text komentáře Char"/>
    <w:basedOn w:val="Standardnpsmoodstavce"/>
    <w:link w:val="Textkomente"/>
    <w:uiPriority w:val="99"/>
    <w:rsid w:val="00B753DB"/>
    <w:rPr>
      <w:sz w:val="20"/>
      <w:szCs w:val="20"/>
    </w:rPr>
  </w:style>
  <w:style w:type="paragraph" w:styleId="Pedmtkomente">
    <w:name w:val="annotation subject"/>
    <w:basedOn w:val="Textkomente"/>
    <w:next w:val="Textkomente"/>
    <w:link w:val="PedmtkomenteChar"/>
    <w:uiPriority w:val="99"/>
    <w:semiHidden/>
    <w:unhideWhenUsed/>
    <w:rsid w:val="00B753DB"/>
    <w:rPr>
      <w:b/>
      <w:bCs/>
    </w:rPr>
  </w:style>
  <w:style w:type="character" w:customStyle="1" w:styleId="PedmtkomenteChar">
    <w:name w:val="Předmět komentáře Char"/>
    <w:basedOn w:val="TextkomenteChar"/>
    <w:link w:val="Pedmtkomente"/>
    <w:uiPriority w:val="99"/>
    <w:semiHidden/>
    <w:rsid w:val="00B753DB"/>
    <w:rPr>
      <w:b/>
      <w:bCs/>
      <w:sz w:val="20"/>
      <w:szCs w:val="20"/>
    </w:rPr>
  </w:style>
  <w:style w:type="character" w:customStyle="1" w:styleId="Nadpis2Char">
    <w:name w:val="Nadpis 2 Char"/>
    <w:basedOn w:val="Standardnpsmoodstavce"/>
    <w:link w:val="Nadpis2"/>
    <w:uiPriority w:val="9"/>
    <w:rsid w:val="005E08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2072</Words>
  <Characters>12225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Radomír Stružinský</dc:creator>
  <cp:keywords/>
  <dc:description/>
  <cp:lastModifiedBy>Alena Beranová</cp:lastModifiedBy>
  <cp:revision>3</cp:revision>
  <cp:lastPrinted>2024-04-02T13:43:00Z</cp:lastPrinted>
  <dcterms:created xsi:type="dcterms:W3CDTF">2024-05-24T11:20:00Z</dcterms:created>
  <dcterms:modified xsi:type="dcterms:W3CDTF">2024-05-24T12:19:00Z</dcterms:modified>
</cp:coreProperties>
</file>